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CB7CC9">
        <w:tc>
          <w:tcPr>
            <w:tcW w:w="4843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CB7CC9">
        <w:tc>
          <w:tcPr>
            <w:tcW w:w="4843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директора -</w:t>
            </w: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инженер филиала ПАО </w:t>
            </w: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инвестиционной деятельности филиала ПАО </w:t>
            </w: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</w:tr>
      <w:tr w:rsidR="00CB7CC9">
        <w:tc>
          <w:tcPr>
            <w:tcW w:w="4843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С.Ю. Захаров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Д.В. Малыгин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CB7CC9">
        <w:tc>
          <w:tcPr>
            <w:tcW w:w="4843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"______"_____________________2026г.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"______"_____________________2026г.</w:t>
            </w:r>
          </w:p>
        </w:tc>
      </w:tr>
    </w:tbl>
    <w:p w:rsidR="00CB7CC9" w:rsidRDefault="00CC7999">
      <w:pPr>
        <w:tabs>
          <w:tab w:val="left" w:pos="1966"/>
        </w:tabs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Приволжье» - «Тулэнерго»</w:t>
      </w:r>
    </w:p>
    <w:p w:rsidR="00CB7CC9" w:rsidRDefault="00CB7C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C799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ТЗ/71/2026/</w:t>
      </w:r>
      <w:r w:rsidR="000A7C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/2/0</w:t>
      </w:r>
      <w:r w:rsidR="00A56B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CB7CC9" w:rsidRDefault="00CC7999">
      <w:pPr>
        <w:pStyle w:val="af8"/>
        <w:spacing w:line="276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CB7CC9" w:rsidRDefault="00CC7999">
      <w:pPr>
        <w:pStyle w:val="af8"/>
        <w:spacing w:after="12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«Строительство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с установко</w:t>
      </w:r>
      <w:r w:rsidR="0091139F">
        <w:rPr>
          <w:sz w:val="24"/>
          <w:szCs w:val="24"/>
        </w:rPr>
        <w:t xml:space="preserve">й выносных приборов учета в </w:t>
      </w:r>
      <w:proofErr w:type="spellStart"/>
      <w:r w:rsidR="000A7C81">
        <w:rPr>
          <w:sz w:val="24"/>
          <w:szCs w:val="24"/>
        </w:rPr>
        <w:t>Щекинск</w:t>
      </w:r>
      <w:r w:rsidR="00A56B66">
        <w:rPr>
          <w:sz w:val="24"/>
          <w:szCs w:val="24"/>
        </w:rPr>
        <w:t>ом</w:t>
      </w:r>
      <w:proofErr w:type="spellEnd"/>
      <w:r w:rsidR="00A56B66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районе электрических сетей»</w:t>
      </w:r>
    </w:p>
    <w:p w:rsidR="00A56B66" w:rsidRPr="00A56B66" w:rsidRDefault="00CC7999" w:rsidP="00A56B6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обеспечения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устройств заявителей по договорам об осуществлении технологического присоединение к электрическим сетям филиала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Центр и Приволжье» - «Тулэнерго»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C81" w:rsidRPr="000A7C81">
        <w:rPr>
          <w:rFonts w:ascii="Times New Roman" w:eastAsia="Times New Roman" w:hAnsi="Times New Roman" w:cs="Times New Roman"/>
          <w:sz w:val="24"/>
          <w:szCs w:val="24"/>
          <w:lang w:eastAsia="ru-RU"/>
        </w:rPr>
        <w:t>711156639</w:t>
      </w:r>
    </w:p>
    <w:p w:rsidR="00CB7CC9" w:rsidRDefault="00CB7CC9" w:rsidP="00A56B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A56B66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C7999">
      <w:pPr>
        <w:pStyle w:val="af8"/>
        <w:ind w:left="0" w:firstLine="0"/>
        <w:rPr>
          <w:sz w:val="24"/>
          <w:szCs w:val="24"/>
        </w:rPr>
      </w:pPr>
      <w:r>
        <w:rPr>
          <w:sz w:val="24"/>
          <w:szCs w:val="24"/>
        </w:rPr>
        <w:t>Тула 2026г.</w:t>
      </w: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Основание выполнения работ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Cs/>
          <w:iCs/>
          <w:sz w:val="24"/>
          <w:szCs w:val="24"/>
        </w:rPr>
        <w:t>Исполнение мероприятий сетевой организации по договорам технологического присоединения к сетям филиала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 – «Тулэнерго» </w:t>
      </w:r>
      <w:r>
        <w:rPr>
          <w:sz w:val="24"/>
          <w:szCs w:val="24"/>
        </w:rPr>
        <w:t>в соответствии с Приложением.</w:t>
      </w:r>
    </w:p>
    <w:p w:rsidR="00CB7CC9" w:rsidRDefault="00CB7CC9">
      <w:pPr>
        <w:pStyle w:val="af8"/>
        <w:tabs>
          <w:tab w:val="left" w:pos="142"/>
          <w:tab w:val="left" w:pos="426"/>
          <w:tab w:val="left" w:pos="1276"/>
        </w:tabs>
        <w:spacing w:line="276" w:lineRule="auto"/>
        <w:ind w:left="567" w:firstLine="0"/>
        <w:jc w:val="both"/>
        <w:rPr>
          <w:bCs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Разработать проектно-сметную документацию (далее - ПСД) одной стадией (проектная документация в объеме п.4 ТЗ, рабочая документация, сметная документация) для реконструкции/нового строительства объектов распределительной сети 10 (6)/0,4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и выполнить СМР с учетом требований НТД, указанных в п. 11 настоящего ТЗ (при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– «Тулэнерго</w:t>
      </w:r>
      <w:r>
        <w:rPr>
          <w:bCs/>
          <w:i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заявителя: в соответствии с Приложением.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Этапность</w:t>
      </w:r>
      <w:proofErr w:type="spellEnd"/>
      <w:r>
        <w:rPr>
          <w:sz w:val="24"/>
          <w:szCs w:val="24"/>
        </w:rPr>
        <w:t xml:space="preserve"> выполнения работ:</w:t>
      </w:r>
    </w:p>
    <w:p w:rsidR="00CB7CC9" w:rsidRDefault="00CC7999">
      <w:pPr>
        <w:pStyle w:val="af8"/>
        <w:tabs>
          <w:tab w:val="left" w:pos="142"/>
          <w:tab w:val="left" w:pos="1134"/>
        </w:tabs>
        <w:ind w:left="709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1-й этап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Предпроектное</w:t>
      </w:r>
      <w:proofErr w:type="spellEnd"/>
      <w:r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:rsidR="00CB7CC9" w:rsidRDefault="00CC7999">
      <w:pPr>
        <w:pStyle w:val="af8"/>
        <w:spacing w:line="276" w:lineRule="auto"/>
        <w:ind w:left="0" w:firstLine="567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случаях, определенных ст. 39.24 </w:t>
      </w:r>
      <w:hyperlink r:id="rId8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положениями ст.274 и 277 </w:t>
      </w:r>
      <w:hyperlink r:id="rId9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&#10;Кодекс РФ от 30.11.1994 N 51-ФЗ&#10;Статус: Действующая редакция документа (действ. c 01.10.2023" w:history="1">
        <w:r>
          <w:rPr>
            <w:rStyle w:val="afff3"/>
            <w:bCs/>
            <w:color w:val="0000AA"/>
            <w:sz w:val="24"/>
            <w:szCs w:val="24"/>
          </w:rPr>
          <w:t>ГК РФ</w:t>
        </w:r>
      </w:hyperlink>
      <w:r>
        <w:rPr>
          <w:bCs/>
          <w:sz w:val="24"/>
          <w:szCs w:val="24"/>
        </w:rPr>
        <w:t xml:space="preserve">, ст. 23 </w:t>
      </w:r>
      <w:hyperlink r:id="rId10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1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>).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2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. 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работ Подрядчик передает Заказчику следующие материалы: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3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>;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межевой план, подготовленный в соответствии с требованиями приказа Минэкономразвития РФ Приказа </w:t>
      </w:r>
      <w:proofErr w:type="spellStart"/>
      <w:r>
        <w:rPr>
          <w:bCs/>
          <w:sz w:val="24"/>
          <w:szCs w:val="24"/>
        </w:rPr>
        <w:t>Росреестра</w:t>
      </w:r>
      <w:proofErr w:type="spellEnd"/>
      <w:r>
        <w:rPr>
          <w:bCs/>
          <w:sz w:val="24"/>
          <w:szCs w:val="24"/>
        </w:rPr>
        <w:t xml:space="preserve"> </w:t>
      </w:r>
      <w:hyperlink r:id="rId14" w:tooltip="&quot;Об утверждении формы и состава сведений межевого плана, требований к его подготовке&quot;&#10;Приказ Росреестра от 14.12.2021 N П/0592&#10;Статус: Действующий документ (действ. c 19.06.2022)" w:history="1">
        <w:r>
          <w:rPr>
            <w:rStyle w:val="afff3"/>
            <w:bCs/>
            <w:color w:val="0000AA"/>
            <w:sz w:val="24"/>
            <w:szCs w:val="24"/>
          </w:rPr>
          <w:t>от 14.12.2021 N П/0592</w:t>
        </w:r>
      </w:hyperlink>
      <w:r>
        <w:rPr>
          <w:bCs/>
          <w:sz w:val="24"/>
          <w:szCs w:val="24"/>
        </w:rPr>
        <w:t xml:space="preserve"> "Об утверждении формы и состава сведений межевого плана, требований к его подготовке», необходимый для осуществления </w:t>
      </w:r>
      <w:r>
        <w:rPr>
          <w:bCs/>
          <w:sz w:val="24"/>
          <w:szCs w:val="24"/>
        </w:rPr>
        <w:lastRenderedPageBreak/>
        <w:t>государственного кадастрового учета, предварительно согласованного для предоставления в аренду земельного участка.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15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Земельный кодекс РФ</w:t>
        </w:r>
      </w:hyperlink>
      <w:r>
        <w:rPr>
          <w:bCs/>
          <w:sz w:val="24"/>
          <w:szCs w:val="24"/>
        </w:rPr>
        <w:t xml:space="preserve"> </w:t>
      </w:r>
      <w:hyperlink r:id="rId16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от 25.10.2001 N 136</w:t>
        </w:r>
      </w:hyperlink>
      <w:r>
        <w:rPr>
          <w:bCs/>
          <w:sz w:val="24"/>
          <w:szCs w:val="24"/>
        </w:rPr>
        <w:t>, Постановление Правительства РФ от 03.12.2018 №1300)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описание местоположения границ охранной зоны в электронном и бумажном виде, сформированное в соответствии с требованиями Приказ </w:t>
      </w:r>
      <w:proofErr w:type="spellStart"/>
      <w:r>
        <w:rPr>
          <w:bCs/>
          <w:sz w:val="24"/>
          <w:szCs w:val="24"/>
        </w:rPr>
        <w:t>Росреестра</w:t>
      </w:r>
      <w:proofErr w:type="spellEnd"/>
      <w:r>
        <w:rPr>
          <w:bCs/>
          <w:sz w:val="24"/>
          <w:szCs w:val="24"/>
        </w:rPr>
        <w:t xml:space="preserve"> </w:t>
      </w:r>
      <w:hyperlink r:id="rId17" w:tooltip="&quot;Об установлении формы графического описания местоположения границ ...&quot;&#10;Приказ Росреестра от 26.07.2022 N П/0292&#10;Статус: Действующий документ. С ограниченным сроком действия (действ. c 01.03.2023 по 28.02.2029)" w:history="1">
        <w:r>
          <w:rPr>
            <w:rStyle w:val="afff3"/>
            <w:bCs/>
            <w:color w:val="0000AA"/>
            <w:sz w:val="24"/>
            <w:szCs w:val="24"/>
          </w:rPr>
          <w:t>от 26.07.2022 N П/0292</w:t>
        </w:r>
      </w:hyperlink>
      <w:r>
        <w:rPr>
          <w:bCs/>
          <w:sz w:val="24"/>
          <w:szCs w:val="24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1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>
          <w:rPr>
            <w:rStyle w:val="afff3"/>
            <w:bCs/>
            <w:color w:val="0000AA"/>
            <w:sz w:val="24"/>
            <w:szCs w:val="24"/>
          </w:rPr>
          <w:t>от 24.02.2009 № 160</w:t>
        </w:r>
      </w:hyperlink>
      <w:r>
        <w:rPr>
          <w:bCs/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ЛЭП 0,4-10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Тульской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ЛЭП 0,4-10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>
        <w:rPr>
          <w:sz w:val="24"/>
          <w:szCs w:val="24"/>
        </w:rPr>
        <w:t>Главрыбвод</w:t>
      </w:r>
      <w:proofErr w:type="spellEnd"/>
      <w:r>
        <w:rPr>
          <w:sz w:val="24"/>
          <w:szCs w:val="24"/>
        </w:rPr>
        <w:t>, департамент культуры и т.п.) Тульской области на предоставление условий размещения проектируемых сетей.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>
          <w:rPr>
            <w:rStyle w:val="afff3"/>
            <w:color w:val="0000AA"/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другой действующей НТД), сметной документации. </w:t>
      </w:r>
    </w:p>
    <w:p w:rsidR="00CB7CC9" w:rsidRDefault="00CC7999">
      <w:pPr>
        <w:numPr>
          <w:ilvl w:val="2"/>
          <w:numId w:val="2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Согласование ПСД с Заказчиком, заинтересованными сторонами и надзорными органами (при необходимости, при соответствующем обосновании).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CB7CC9" w:rsidRDefault="00CC7999">
      <w:pPr>
        <w:pStyle w:val="af8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2-й этап:</w:t>
      </w:r>
    </w:p>
    <w:p w:rsidR="00CB7CC9" w:rsidRDefault="00CC7999">
      <w:pPr>
        <w:pStyle w:val="afc"/>
        <w:numPr>
          <w:ilvl w:val="2"/>
          <w:numId w:val="2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10 настоящего ТЗ (</w:t>
      </w:r>
      <w:r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CB7CC9" w:rsidRDefault="00CB7CC9">
      <w:pPr>
        <w:pStyle w:val="afc"/>
        <w:tabs>
          <w:tab w:val="clear" w:pos="1701"/>
          <w:tab w:val="left" w:pos="708"/>
        </w:tabs>
        <w:spacing w:line="276" w:lineRule="auto"/>
        <w:ind w:left="709" w:firstLine="0"/>
        <w:rPr>
          <w:bCs/>
          <w:iCs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Исходные данные для проектирования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Максимальная присоединяемая мощность –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Максимальная мощность ранее присоединенных </w:t>
      </w:r>
      <w:proofErr w:type="spellStart"/>
      <w:r>
        <w:rPr>
          <w:bCs/>
          <w:iCs/>
          <w:sz w:val="24"/>
          <w:szCs w:val="24"/>
        </w:rPr>
        <w:t>энергопринимающих</w:t>
      </w:r>
      <w:proofErr w:type="spellEnd"/>
      <w:r>
        <w:rPr>
          <w:bCs/>
          <w:iCs/>
          <w:sz w:val="24"/>
          <w:szCs w:val="24"/>
        </w:rPr>
        <w:t xml:space="preserve"> устройств -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Категория надёжности электроснабжения: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Номинальный уровень напряжения на границе разграничения балансовой принадлежности –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Точки присоединения: </w:t>
      </w:r>
    </w:p>
    <w:p w:rsidR="00CB7CC9" w:rsidRDefault="00CC7999">
      <w:pPr>
        <w:pStyle w:val="afa"/>
        <w:tabs>
          <w:tab w:val="left" w:pos="993"/>
        </w:tabs>
        <w:spacing w:line="276" w:lineRule="auto"/>
        <w:ind w:left="0" w:firstLine="567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- Схемы нормального режима ПС, РП, ТП и фидеров сети 6-10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и 0,4 </w:t>
      </w:r>
      <w:proofErr w:type="spellStart"/>
      <w:r>
        <w:rPr>
          <w:bCs/>
          <w:iCs/>
          <w:sz w:val="24"/>
          <w:szCs w:val="24"/>
        </w:rPr>
        <w:t>кВ.</w:t>
      </w:r>
      <w:proofErr w:type="spellEnd"/>
    </w:p>
    <w:p w:rsidR="00CB7CC9" w:rsidRDefault="00CC7999">
      <w:pPr>
        <w:pStyle w:val="afa"/>
        <w:tabs>
          <w:tab w:val="left" w:pos="993"/>
        </w:tabs>
        <w:spacing w:line="276" w:lineRule="auto"/>
        <w:ind w:left="0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в работу строящихся (реконструируемых) объектов электросетевого хозяйства.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Карты установок РЗА, токи КЗ на шинах питающих центров, данные по емкостным токам замыкания на землю.</w:t>
      </w:r>
    </w:p>
    <w:p w:rsidR="00CB7CC9" w:rsidRDefault="00CC7999">
      <w:pPr>
        <w:pStyle w:val="afa"/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CB7CC9" w:rsidRDefault="00CB7CC9">
      <w:pPr>
        <w:pStyle w:val="afa"/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проектированию</w:t>
      </w:r>
    </w:p>
    <w:p w:rsidR="00CB7CC9" w:rsidRDefault="00CC7999">
      <w:pPr>
        <w:pStyle w:val="af8"/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Проектно-сметная документация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Пояснительная записка.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исходные данные и условия для подготовки проектно-сметной документации;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4"/>
          <w:szCs w:val="24"/>
        </w:rPr>
        <w:t>объекта (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 xml:space="preserve">) распределительной сети 0,4-10 (6) </w:t>
      </w:r>
      <w:proofErr w:type="spellStart"/>
      <w:r>
        <w:rPr>
          <w:bCs/>
          <w:sz w:val="24"/>
          <w:szCs w:val="24"/>
        </w:rPr>
        <w:t>кВ.</w:t>
      </w:r>
      <w:proofErr w:type="spellEnd"/>
      <w:r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в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Приволжье» - «Тулэнерго»;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с учетом </w:t>
      </w:r>
      <w:r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проектируемых объектах </w:t>
      </w:r>
      <w:r>
        <w:rPr>
          <w:bCs/>
          <w:sz w:val="24"/>
          <w:szCs w:val="24"/>
        </w:rPr>
        <w:t xml:space="preserve">распределительной сети 0,4-10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технико-экономические характеристики проектируемых объектов </w:t>
      </w:r>
      <w:r>
        <w:rPr>
          <w:bCs/>
          <w:sz w:val="24"/>
          <w:szCs w:val="24"/>
        </w:rPr>
        <w:t xml:space="preserve">распределительной сети 0,4-10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сведения о примененных инновационных решениях. </w:t>
      </w:r>
      <w:r>
        <w:rPr>
          <w:b/>
          <w:sz w:val="24"/>
          <w:szCs w:val="24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полосы отвода.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Привести в текстовой части 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обоснование планировочной организации земельного участка;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2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>
          <w:rPr>
            <w:rStyle w:val="afff3"/>
            <w:color w:val="0000AA"/>
            <w:sz w:val="24"/>
            <w:szCs w:val="24"/>
          </w:rPr>
          <w:t>от 24.02.2009 № 160</w:t>
        </w:r>
      </w:hyperlink>
      <w:r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Привести в графической части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4"/>
          <w:szCs w:val="24"/>
        </w:rPr>
      </w:pPr>
      <w:r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размещение объектов на территории Тульской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собственности.</w:t>
      </w:r>
    </w:p>
    <w:p w:rsidR="00CB7CC9" w:rsidRDefault="00CC7999">
      <w:pPr>
        <w:pStyle w:val="afa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</w:t>
      </w:r>
      <w:proofErr w:type="spellStart"/>
      <w:r>
        <w:rPr>
          <w:bCs/>
          <w:iCs/>
          <w:sz w:val="24"/>
          <w:szCs w:val="24"/>
        </w:rPr>
        <w:t>ов</w:t>
      </w:r>
      <w:proofErr w:type="spellEnd"/>
      <w:r>
        <w:rPr>
          <w:bCs/>
          <w:iCs/>
          <w:sz w:val="24"/>
          <w:szCs w:val="24"/>
        </w:rPr>
        <w:t>) капитального строительства:</w:t>
      </w:r>
    </w:p>
    <w:p w:rsidR="00CB7CC9" w:rsidRDefault="00CC7999">
      <w:pPr>
        <w:pStyle w:val="afa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CB7CC9" w:rsidRDefault="00CC7999">
      <w:pPr>
        <w:pStyle w:val="afa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>
        <w:rPr>
          <w:bCs/>
          <w:sz w:val="24"/>
          <w:szCs w:val="24"/>
        </w:rPr>
        <w:t>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Приволжье» - «Тулэнерго» </w:t>
      </w:r>
      <w:r>
        <w:rPr>
          <w:bCs/>
          <w:iCs/>
          <w:sz w:val="24"/>
          <w:szCs w:val="24"/>
        </w:rPr>
        <w:lastRenderedPageBreak/>
        <w:t>и обоснованием отсутствия возможности размещения объектов энергетики на муниципальных землях.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Привести в текстовой части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>
        <w:rPr>
          <w:sz w:val="24"/>
          <w:szCs w:val="24"/>
        </w:rPr>
        <w:t>антиобледенению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молниезащите</w:t>
      </w:r>
      <w:proofErr w:type="spellEnd"/>
      <w:r>
        <w:rPr>
          <w:sz w:val="24"/>
          <w:szCs w:val="24"/>
        </w:rPr>
        <w:t>, заземлению, а также мер по защите конструкций от коррозии и др.);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конструкций фундаментов, опор;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конструктивных элементов кабельной линии (кабельной вставки, </w:t>
      </w:r>
      <w:proofErr w:type="spellStart"/>
      <w:r>
        <w:rPr>
          <w:sz w:val="24"/>
          <w:szCs w:val="24"/>
        </w:rPr>
        <w:t>в.ч</w:t>
      </w:r>
      <w:proofErr w:type="spellEnd"/>
      <w:r>
        <w:rPr>
          <w:sz w:val="24"/>
          <w:szCs w:val="24"/>
        </w:rPr>
        <w:t xml:space="preserve">. соединительных и концевых муфт); 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>
        <w:rPr>
          <w:sz w:val="24"/>
          <w:szCs w:val="24"/>
        </w:rPr>
        <w:t>реклоузер</w:t>
      </w:r>
      <w:proofErr w:type="spellEnd"/>
      <w:r>
        <w:rPr>
          <w:sz w:val="24"/>
          <w:szCs w:val="24"/>
        </w:rPr>
        <w:t xml:space="preserve">), </w:t>
      </w:r>
      <w:r>
        <w:rPr>
          <w:i/>
          <w:sz w:val="24"/>
          <w:szCs w:val="24"/>
        </w:rPr>
        <w:t>в случае если предусмотрено ТУ</w:t>
      </w:r>
      <w:r>
        <w:rPr>
          <w:sz w:val="24"/>
          <w:szCs w:val="24"/>
        </w:rPr>
        <w:t xml:space="preserve">. 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</w:tabs>
        <w:spacing w:line="276" w:lineRule="auto"/>
        <w:ind w:left="1850"/>
        <w:jc w:val="both"/>
        <w:rPr>
          <w:sz w:val="24"/>
          <w:szCs w:val="24"/>
        </w:rPr>
      </w:pPr>
      <w:r>
        <w:rPr>
          <w:sz w:val="24"/>
          <w:szCs w:val="24"/>
        </w:rPr>
        <w:t>Привести в графической части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схема нормального режима ЛЭП 0,4-</w:t>
      </w:r>
      <w:r>
        <w:rPr>
          <w:bCs/>
          <w:sz w:val="24"/>
          <w:szCs w:val="24"/>
        </w:rPr>
        <w:t xml:space="preserve">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и </w:t>
      </w:r>
      <w:proofErr w:type="spellStart"/>
      <w:r>
        <w:rPr>
          <w:bCs/>
          <w:sz w:val="24"/>
          <w:szCs w:val="24"/>
        </w:rPr>
        <w:t>поопорная</w:t>
      </w:r>
      <w:proofErr w:type="spellEnd"/>
      <w:r>
        <w:rPr>
          <w:bCs/>
          <w:sz w:val="24"/>
          <w:szCs w:val="24"/>
        </w:rPr>
        <w:t xml:space="preserve"> схема (для реконструируемых ВЛ)</w:t>
      </w:r>
      <w:r>
        <w:rPr>
          <w:bCs/>
          <w:iCs/>
          <w:sz w:val="24"/>
          <w:szCs w:val="24"/>
        </w:rPr>
        <w:t>;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схемы крепления опор (при необходимости);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узлов перехода с кабельной линии на воздушную линию;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>
        <w:rPr>
          <w:sz w:val="24"/>
          <w:szCs w:val="24"/>
        </w:rPr>
        <w:t xml:space="preserve">(разъединитель, </w:t>
      </w:r>
      <w:proofErr w:type="spellStart"/>
      <w:r>
        <w:rPr>
          <w:sz w:val="24"/>
          <w:szCs w:val="24"/>
        </w:rPr>
        <w:t>реклоузер</w:t>
      </w:r>
      <w:proofErr w:type="spellEnd"/>
      <w:r>
        <w:rPr>
          <w:sz w:val="24"/>
          <w:szCs w:val="24"/>
        </w:rPr>
        <w:t>).</w:t>
      </w:r>
      <w:r>
        <w:rPr>
          <w:bCs/>
          <w:iCs/>
          <w:sz w:val="24"/>
          <w:szCs w:val="24"/>
        </w:rPr>
        <w:t xml:space="preserve"> 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организации строительства: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характеристика трассы линейного объекта, района его строительства, описание полосы отвода;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 размерах земельных участков, временно отводимых на период строительства;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об объемах и трудоемкости основных строительных и монтажных работ по участкам трассы;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lastRenderedPageBreak/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CB7CC9" w:rsidRDefault="00CC7999">
      <w:pPr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по охране окружающей среды.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>
        <w:rPr>
          <w:bCs/>
          <w:iCs/>
          <w:sz w:val="24"/>
          <w:szCs w:val="24"/>
        </w:rPr>
        <w:t>т.ч</w:t>
      </w:r>
      <w:proofErr w:type="spellEnd"/>
      <w:r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>
          <w:rPr>
            <w:rStyle w:val="afff3"/>
            <w:bCs/>
            <w:iCs/>
            <w:color w:val="0000AA"/>
            <w:sz w:val="24"/>
            <w:szCs w:val="24"/>
          </w:rPr>
          <w:t>Федеральным законом от 27.12.2018 № 522-ФЗ</w:t>
        </w:r>
      </w:hyperlink>
      <w:r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Требования к сметной документации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формировании</w:t>
      </w:r>
      <w:r>
        <w:rPr>
          <w:bCs/>
          <w:iCs/>
          <w:sz w:val="24"/>
          <w:szCs w:val="24"/>
        </w:rPr>
        <w:t xml:space="preserve">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>
          <w:rPr>
            <w:bCs/>
            <w:iCs/>
            <w:sz w:val="24"/>
            <w:szCs w:val="24"/>
          </w:rPr>
          <w:t>от 04.08.2020 № 421/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slink://page/vid=5002993?rc=112010?dtn=%CD%D1%C407353?pn=0?sv=" w:history="1">
        <w:r>
          <w:rPr>
            <w:bCs/>
            <w:iCs/>
            <w:sz w:val="24"/>
            <w:szCs w:val="24"/>
          </w:rPr>
          <w:t>07.07.2022 года № 557/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и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составе сметной документации в обязательном порядке предусмотреть расчет стоимости по </w:t>
      </w:r>
      <w:r>
        <w:rPr>
          <w:sz w:val="24"/>
          <w:szCs w:val="24"/>
        </w:rPr>
        <w:t>укрупненным</w:t>
      </w:r>
      <w:r>
        <w:rPr>
          <w:bCs/>
          <w:iCs/>
          <w:sz w:val="24"/>
          <w:szCs w:val="24"/>
        </w:rPr>
        <w:t xml:space="preserve">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составлении</w:t>
      </w:r>
      <w:r>
        <w:rPr>
          <w:bCs/>
          <w:iCs/>
          <w:sz w:val="24"/>
          <w:szCs w:val="24"/>
        </w:rPr>
        <w:t xml:space="preserve"> сметной документации в соответствии с приказом Минстроя РФ №1046/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30.12.2021 (в редакции Приказов №378/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18.05.2022 и №1133/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Сметная </w:t>
      </w:r>
      <w:r>
        <w:rPr>
          <w:sz w:val="24"/>
          <w:szCs w:val="24"/>
        </w:rPr>
        <w:t>стоимость</w:t>
      </w:r>
      <w:r>
        <w:rPr>
          <w:bCs/>
          <w:iCs/>
          <w:sz w:val="24"/>
          <w:szCs w:val="24"/>
        </w:rPr>
        <w:t xml:space="preserve">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отсутствии</w:t>
      </w:r>
      <w:r>
        <w:rPr>
          <w:bCs/>
          <w:iCs/>
          <w:sz w:val="24"/>
          <w:szCs w:val="24"/>
        </w:rPr>
        <w:t xml:space="preserve">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</w:t>
      </w:r>
      <w:r>
        <w:rPr>
          <w:bCs/>
          <w:iCs/>
          <w:sz w:val="24"/>
          <w:szCs w:val="24"/>
        </w:rPr>
        <w:lastRenderedPageBreak/>
        <w:t>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4" w:tooltip="slink://page/vid=5002993?rc=112010?dtn=%CD%D1%C407353?pn=0?sv=" w:history="1">
        <w:r>
          <w:rPr>
            <w:bCs/>
            <w:iCs/>
            <w:sz w:val="24"/>
            <w:szCs w:val="24"/>
          </w:rPr>
          <w:t>07.07.2022 года № 557/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>, действует с 01.09.2022 года).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</w:t>
      </w:r>
      <w:r>
        <w:rPr>
          <w:sz w:val="24"/>
          <w:szCs w:val="24"/>
        </w:rPr>
        <w:t>электронном</w:t>
      </w:r>
      <w:r>
        <w:rPr>
          <w:bCs/>
          <w:iCs/>
          <w:sz w:val="24"/>
          <w:szCs w:val="24"/>
        </w:rPr>
        <w:t xml:space="preserve"> виде сметная документация предоставляется в форматах ПО «Гранд-смета» (*.</w:t>
      </w:r>
      <w:proofErr w:type="spellStart"/>
      <w:r>
        <w:rPr>
          <w:bCs/>
          <w:iCs/>
          <w:sz w:val="24"/>
          <w:szCs w:val="24"/>
        </w:rPr>
        <w:t>gsf</w:t>
      </w:r>
      <w:proofErr w:type="spellEnd"/>
      <w:r>
        <w:rPr>
          <w:bCs/>
          <w:iCs/>
          <w:sz w:val="24"/>
          <w:szCs w:val="24"/>
        </w:rPr>
        <w:t xml:space="preserve">, </w:t>
      </w:r>
      <w:proofErr w:type="gramStart"/>
      <w:r>
        <w:rPr>
          <w:bCs/>
          <w:iCs/>
          <w:sz w:val="24"/>
          <w:szCs w:val="24"/>
        </w:rPr>
        <w:t>*.</w:t>
      </w:r>
      <w:proofErr w:type="spellStart"/>
      <w:r>
        <w:rPr>
          <w:bCs/>
          <w:iCs/>
          <w:sz w:val="24"/>
          <w:szCs w:val="24"/>
        </w:rPr>
        <w:t>gsfx</w:t>
      </w:r>
      <w:proofErr w:type="spellEnd"/>
      <w:proofErr w:type="gramEnd"/>
      <w:r>
        <w:rPr>
          <w:bCs/>
          <w:iCs/>
          <w:sz w:val="24"/>
          <w:szCs w:val="24"/>
        </w:rPr>
        <w:t>), универсальном формате (*.</w:t>
      </w:r>
      <w:proofErr w:type="spellStart"/>
      <w:r>
        <w:rPr>
          <w:bCs/>
          <w:iCs/>
          <w:sz w:val="24"/>
          <w:szCs w:val="24"/>
        </w:rPr>
        <w:t>xml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xmlx</w:t>
      </w:r>
      <w:proofErr w:type="spellEnd"/>
      <w:r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>
        <w:rPr>
          <w:bCs/>
          <w:iCs/>
          <w:sz w:val="24"/>
          <w:szCs w:val="24"/>
        </w:rPr>
        <w:t>Excel</w:t>
      </w:r>
      <w:proofErr w:type="spellEnd"/>
      <w:r>
        <w:rPr>
          <w:bCs/>
          <w:iCs/>
          <w:sz w:val="24"/>
          <w:szCs w:val="24"/>
        </w:rPr>
        <w:t xml:space="preserve"> (*.</w:t>
      </w:r>
      <w:proofErr w:type="spellStart"/>
      <w:r>
        <w:rPr>
          <w:bCs/>
          <w:iCs/>
          <w:sz w:val="24"/>
          <w:szCs w:val="24"/>
        </w:rPr>
        <w:t>xls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xlsx</w:t>
      </w:r>
      <w:proofErr w:type="spellEnd"/>
      <w:r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>
        <w:rPr>
          <w:bCs/>
          <w:iCs/>
          <w:sz w:val="24"/>
          <w:szCs w:val="24"/>
        </w:rPr>
        <w:t>Word</w:t>
      </w:r>
      <w:proofErr w:type="spellEnd"/>
      <w:r>
        <w:rPr>
          <w:bCs/>
          <w:iCs/>
          <w:sz w:val="24"/>
          <w:szCs w:val="24"/>
        </w:rPr>
        <w:t xml:space="preserve"> (*.</w:t>
      </w:r>
      <w:proofErr w:type="spellStart"/>
      <w:r>
        <w:rPr>
          <w:bCs/>
          <w:iCs/>
          <w:sz w:val="24"/>
          <w:szCs w:val="24"/>
        </w:rPr>
        <w:t>doc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docx</w:t>
      </w:r>
      <w:proofErr w:type="spellEnd"/>
      <w:r>
        <w:rPr>
          <w:bCs/>
          <w:iCs/>
          <w:sz w:val="24"/>
          <w:szCs w:val="24"/>
        </w:rPr>
        <w:t>).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Затраты</w:t>
      </w:r>
      <w:r>
        <w:rPr>
          <w:bCs/>
          <w:iCs/>
          <w:sz w:val="24"/>
          <w:szCs w:val="24"/>
        </w:rPr>
        <w:t xml:space="preserve">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наличии</w:t>
      </w:r>
      <w:r>
        <w:rPr>
          <w:bCs/>
          <w:iCs/>
          <w:sz w:val="24"/>
          <w:szCs w:val="24"/>
        </w:rPr>
        <w:t xml:space="preserve">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Руководствуясь</w:t>
      </w:r>
      <w:r>
        <w:rPr>
          <w:bCs/>
          <w:iCs/>
          <w:sz w:val="24"/>
          <w:szCs w:val="24"/>
        </w:rPr>
        <w:t xml:space="preserve">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5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>
          <w:rPr>
            <w:bCs/>
            <w:iCs/>
            <w:sz w:val="24"/>
            <w:szCs w:val="24"/>
          </w:rPr>
          <w:t>Федеральным законом от 27.12.2018 № 522-ФЗ</w:t>
        </w:r>
      </w:hyperlink>
      <w:r>
        <w:rPr>
          <w:bCs/>
          <w:iCs/>
          <w:sz w:val="24"/>
          <w:szCs w:val="24"/>
        </w:rPr>
        <w:t>, установка средств учета оформляется отдельной локальной сметой.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bCs/>
          <w:iCs/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применения</w:t>
      </w:r>
      <w:r>
        <w:rPr>
          <w:sz w:val="24"/>
          <w:szCs w:val="24"/>
        </w:rPr>
        <w:t xml:space="preserve"> на объекте основных средств по кодам группировки «Машины и оборудование, включая хозяйственный инвентарь», попадающих под параметры применения Федерального инвестиционного налогового вычета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284" w:firstLine="425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Требования к оформлению ПСД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выполнении рабочей документации необходимо   руководствоваться положениями </w:t>
      </w:r>
      <w:hyperlink r:id="rId26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>
          <w:rPr>
            <w:rStyle w:val="afff3"/>
            <w:color w:val="0000AA"/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>
        <w:rPr>
          <w:sz w:val="24"/>
          <w:szCs w:val="24"/>
        </w:rPr>
        <w:t>зануления</w:t>
      </w:r>
      <w:proofErr w:type="spellEnd"/>
      <w:r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>
        <w:rPr>
          <w:bCs/>
          <w:iCs/>
          <w:sz w:val="24"/>
          <w:szCs w:val="24"/>
        </w:rPr>
        <w:t>проектов  с</w:t>
      </w:r>
      <w:proofErr w:type="gramEnd"/>
      <w:r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>, отдельных элементов и узлов опор).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Прилагаемые документы: </w:t>
      </w:r>
    </w:p>
    <w:p w:rsidR="00CB7CC9" w:rsidRDefault="00CC7999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типовые проекты на ТП и РП с привязкой к конкретному объекту;</w:t>
      </w:r>
    </w:p>
    <w:p w:rsidR="00CB7CC9" w:rsidRDefault="000A7C81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27" w:tooltip="Спецификация оборудования" w:history="1">
        <w:r w:rsidR="00CC7999">
          <w:rPr>
            <w:sz w:val="24"/>
            <w:szCs w:val="24"/>
          </w:rPr>
          <w:t>спецификации оборудования</w:t>
        </w:r>
      </w:hyperlink>
      <w:r w:rsidR="00CC7999">
        <w:rPr>
          <w:sz w:val="24"/>
          <w:szCs w:val="24"/>
        </w:rPr>
        <w:t xml:space="preserve">, изделий и материалов по </w:t>
      </w:r>
      <w:hyperlink r:id="rId28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CC7999">
          <w:rPr>
            <w:rStyle w:val="afff3"/>
            <w:color w:val="0000AA"/>
            <w:sz w:val="24"/>
            <w:szCs w:val="24"/>
          </w:rPr>
          <w:t>ГОСТ 21.110-2013</w:t>
        </w:r>
      </w:hyperlink>
      <w:r w:rsidR="00CC7999">
        <w:rPr>
          <w:sz w:val="24"/>
          <w:szCs w:val="24"/>
        </w:rPr>
        <w:t>;</w:t>
      </w:r>
    </w:p>
    <w:p w:rsidR="00CB7CC9" w:rsidRDefault="00CC7999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опросные листы;</w:t>
      </w:r>
    </w:p>
    <w:p w:rsidR="00CB7CC9" w:rsidRDefault="00CC7999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знакам», распоряжения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№ ЦА/14/14-р от 03.02.2020, ЗИП и аварийный резерв (при обосновании).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29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>
          <w:rPr>
            <w:rStyle w:val="afff3"/>
            <w:color w:val="0000AA"/>
            <w:sz w:val="24"/>
            <w:szCs w:val="24"/>
          </w:rPr>
          <w:t>ГОСТ 2.301</w:t>
        </w:r>
      </w:hyperlink>
      <w:r>
        <w:rPr>
          <w:sz w:val="24"/>
          <w:szCs w:val="24"/>
        </w:rP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>
        <w:rPr>
          <w:sz w:val="24"/>
          <w:szCs w:val="24"/>
        </w:rPr>
        <w:t>Officе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AutoCAD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NanoCAD</w:t>
      </w:r>
      <w:proofErr w:type="spellEnd"/>
      <w:r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Visio</w:t>
      </w:r>
      <w:proofErr w:type="spellEnd"/>
      <w:r>
        <w:rPr>
          <w:sz w:val="24"/>
          <w:szCs w:val="24"/>
        </w:rPr>
        <w:t xml:space="preserve"> (при необходимости по требованию Заказчика).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426" w:firstLine="27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>
        <w:rPr>
          <w:sz w:val="24"/>
          <w:szCs w:val="24"/>
        </w:rPr>
        <w:t>Минпромторга</w:t>
      </w:r>
      <w:proofErr w:type="spellEnd"/>
      <w:r>
        <w:rPr>
          <w:sz w:val="24"/>
          <w:szCs w:val="24"/>
        </w:rPr>
        <w:t xml:space="preserve"> России и </w:t>
      </w:r>
      <w:proofErr w:type="spellStart"/>
      <w:r>
        <w:rPr>
          <w:sz w:val="24"/>
          <w:szCs w:val="24"/>
        </w:rPr>
        <w:t>Минцифры</w:t>
      </w:r>
      <w:proofErr w:type="spellEnd"/>
      <w:r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>
        <w:rPr>
          <w:sz w:val="24"/>
          <w:szCs w:val="24"/>
        </w:rPr>
        <w:t>Минпромторга</w:t>
      </w:r>
      <w:proofErr w:type="spellEnd"/>
      <w:r>
        <w:rPr>
          <w:sz w:val="24"/>
          <w:szCs w:val="24"/>
        </w:rPr>
        <w:t xml:space="preserve"> России и </w:t>
      </w:r>
      <w:proofErr w:type="spellStart"/>
      <w:r>
        <w:rPr>
          <w:sz w:val="24"/>
          <w:szCs w:val="24"/>
        </w:rPr>
        <w:t>Минцифры</w:t>
      </w:r>
      <w:proofErr w:type="spellEnd"/>
      <w:r>
        <w:rPr>
          <w:sz w:val="24"/>
          <w:szCs w:val="24"/>
        </w:rPr>
        <w:t xml:space="preserve"> России, считать иностранными (импортными).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проектировании объектов распределительной сети 0,4 - 6(10)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и ПАО 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Приволжье», окончательно уточнить на стадии проектирования. 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» </w:t>
      </w:r>
      <w:r>
        <w:rPr>
          <w:spacing w:val="-2"/>
          <w:sz w:val="24"/>
          <w:szCs w:val="24"/>
        </w:rPr>
        <w:t>(размещен на сайте ПАО «</w:t>
      </w:r>
      <w:proofErr w:type="spellStart"/>
      <w:r>
        <w:rPr>
          <w:spacing w:val="-2"/>
          <w:sz w:val="24"/>
          <w:szCs w:val="24"/>
        </w:rPr>
        <w:t>Россети</w:t>
      </w:r>
      <w:proofErr w:type="spellEnd"/>
      <w:r>
        <w:rPr>
          <w:spacing w:val="-2"/>
          <w:sz w:val="24"/>
          <w:szCs w:val="24"/>
        </w:rPr>
        <w:t>» по ссылке</w:t>
      </w:r>
      <w:r>
        <w:rPr>
          <w:bCs/>
          <w:iCs/>
          <w:sz w:val="24"/>
          <w:szCs w:val="24"/>
        </w:rPr>
        <w:t xml:space="preserve"> </w:t>
      </w:r>
      <w:hyperlink r:id="rId30" w:tooltip="https://rosseti.ru/suppliers/technical-policy/equipment-quality-control/" w:history="1">
        <w:r>
          <w:rPr>
            <w:rStyle w:val="afff3"/>
            <w:spacing w:val="-2"/>
            <w:sz w:val="24"/>
            <w:szCs w:val="24"/>
          </w:rPr>
          <w:t>https://rosseti.ru/suppliers/technical-policy/equipment-quality-control/</w:t>
        </w:r>
      </w:hyperlink>
      <w:r>
        <w:rPr>
          <w:spacing w:val="-2"/>
          <w:sz w:val="24"/>
          <w:szCs w:val="24"/>
        </w:rPr>
        <w:t xml:space="preserve">), </w:t>
      </w:r>
      <w:r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>
        <w:rPr>
          <w:spacing w:val="-2"/>
          <w:sz w:val="24"/>
          <w:szCs w:val="24"/>
        </w:rPr>
        <w:t>Россети</w:t>
      </w:r>
      <w:proofErr w:type="spellEnd"/>
      <w:r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1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>
          <w:rPr>
            <w:sz w:val="24"/>
            <w:szCs w:val="24"/>
          </w:rPr>
          <w:t>ГОСТ 34.201-2020</w:t>
        </w:r>
      </w:hyperlink>
      <w:r>
        <w:rPr>
          <w:sz w:val="24"/>
          <w:szCs w:val="24"/>
        </w:rPr>
        <w:t xml:space="preserve">, </w:t>
      </w:r>
      <w:hyperlink r:id="rId32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>
          <w:rPr>
            <w:sz w:val="24"/>
            <w:szCs w:val="24"/>
          </w:rPr>
          <w:t>ГОСТ 27300-87</w:t>
        </w:r>
      </w:hyperlink>
      <w:r>
        <w:rPr>
          <w:sz w:val="24"/>
          <w:szCs w:val="24"/>
        </w:rPr>
        <w:t xml:space="preserve">, </w:t>
      </w:r>
      <w:hyperlink r:id="rId33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>
          <w:rPr>
            <w:sz w:val="24"/>
            <w:szCs w:val="24"/>
          </w:rPr>
          <w:t>ГОСТ Р 2.601-2019</w:t>
        </w:r>
      </w:hyperlink>
      <w:r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Марку оборудования, провода, сцепной линейной арматуры согласовать с филиалом.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Выполнить проверку ТТ в ячейке(-ах)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расчет токов </w:t>
      </w:r>
      <w:proofErr w:type="spellStart"/>
      <w:r>
        <w:rPr>
          <w:sz w:val="24"/>
          <w:szCs w:val="24"/>
        </w:rPr>
        <w:t>к.з</w:t>
      </w:r>
      <w:proofErr w:type="spellEnd"/>
      <w:r>
        <w:rPr>
          <w:sz w:val="24"/>
          <w:szCs w:val="24"/>
        </w:rPr>
        <w:t xml:space="preserve">., предусмотреть проверку чувствительности и селективности защит. В случае необходимости </w:t>
      </w:r>
      <w:proofErr w:type="spellStart"/>
      <w:r>
        <w:rPr>
          <w:sz w:val="24"/>
          <w:szCs w:val="24"/>
        </w:rPr>
        <w:t>справочно</w:t>
      </w:r>
      <w:proofErr w:type="spellEnd"/>
      <w:r>
        <w:rPr>
          <w:sz w:val="24"/>
          <w:szCs w:val="24"/>
        </w:rPr>
        <w:t xml:space="preserve"> представить в проекте предложение о замене оборудования.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4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5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, утв. Приказом </w:t>
      </w:r>
      <w:proofErr w:type="spellStart"/>
      <w:r>
        <w:rPr>
          <w:sz w:val="24"/>
          <w:szCs w:val="24"/>
        </w:rPr>
        <w:t>Минрегиона</w:t>
      </w:r>
      <w:proofErr w:type="spellEnd"/>
      <w:r>
        <w:rPr>
          <w:sz w:val="24"/>
          <w:szCs w:val="24"/>
        </w:rPr>
        <w:t xml:space="preserve"> России </w:t>
      </w:r>
      <w:hyperlink r:id="rId36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sz w:val="24"/>
            <w:szCs w:val="24"/>
          </w:rPr>
          <w:t>от 30.06.2012 № 265</w:t>
        </w:r>
      </w:hyperlink>
      <w:r>
        <w:rPr>
          <w:sz w:val="24"/>
          <w:szCs w:val="24"/>
        </w:rPr>
        <w:t>).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</w:tabs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Основные требования к ВЛИ-0,4 </w:t>
      </w:r>
      <w:proofErr w:type="spellStart"/>
      <w:r>
        <w:rPr>
          <w:b/>
          <w:bCs/>
          <w:iCs/>
          <w:sz w:val="24"/>
          <w:szCs w:val="24"/>
        </w:rPr>
        <w:t>кВ</w:t>
      </w:r>
      <w:proofErr w:type="spellEnd"/>
      <w:r>
        <w:rPr>
          <w:b/>
          <w:bCs/>
          <w:iCs/>
          <w:sz w:val="24"/>
          <w:szCs w:val="24"/>
        </w:rPr>
        <w:t>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685"/>
      </w:tblGrid>
      <w:tr w:rsidR="00CB7CC9">
        <w:trPr>
          <w:tblHeader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B7CC9">
        <w:trPr>
          <w:trHeight w:val="589"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A7C81">
              <w:rPr>
                <w:rFonts w:ascii="Times New Roman" w:hAnsi="Times New Roman" w:cs="Times New Roman"/>
                <w:sz w:val="24"/>
                <w:szCs w:val="24"/>
              </w:rPr>
              <w:t>,16</w:t>
            </w:r>
          </w:p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CB7CC9">
        <w:trPr>
          <w:trHeight w:val="536"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провода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СИП-2 (на магистральных участках)</w:t>
            </w:r>
          </w:p>
        </w:tc>
      </w:tr>
      <w:tr w:rsidR="00CB7CC9">
        <w:trPr>
          <w:trHeight w:val="387"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провода, мм2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50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при проектировании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-16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Да/нет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CB7CC9" w:rsidRDefault="00CC799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* применять опоры из железобетона, модифицированного добавкой 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поликарбоксилатной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основе, согласно патенту ПАО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Центр и Приволжья» на полезную модель от 29.05.2023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№ 218483 «Модифицированная железобетонная стойка опор ВЛ 0,4-10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повышенной долговечности».</w:t>
      </w:r>
    </w:p>
    <w:p w:rsidR="00CB7CC9" w:rsidRDefault="00CC799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** при новом строительстве и реконструкции ВЛ-0,4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при наличии ТЭО применять анкерные стальные многогранные опоры вместо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трехстоечных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железобетонных или деревянных опор. Вместо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двухстоечных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филиала;</w:t>
      </w:r>
    </w:p>
    <w:p w:rsidR="00CB7CC9" w:rsidRDefault="00CC7999">
      <w:pPr>
        <w:numPr>
          <w:ilvl w:val="2"/>
          <w:numId w:val="3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предусмотреть на ВЛИ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установку скоб для установки ПЗ, места определить проектом, согласовать с РЭС;</w:t>
      </w:r>
    </w:p>
    <w:p w:rsidR="00CB7CC9" w:rsidRDefault="00CC7999">
      <w:pPr>
        <w:numPr>
          <w:ilvl w:val="2"/>
          <w:numId w:val="3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(ЗТП, МТП, КТП), а также на внешнем заборе ПС 35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выше, выполненном в виде сетчатого ограждения. (в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соотв.с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СТО 34.01-24-001-2015);</w:t>
      </w:r>
    </w:p>
    <w:p w:rsidR="00CB7CC9" w:rsidRDefault="00CC7999">
      <w:pPr>
        <w:numPr>
          <w:ilvl w:val="2"/>
          <w:numId w:val="3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предусмотреть замену существующего коммутационного аппарата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ТП для отходящей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автоматический выключатель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современного образца в следующих случаях: </w:t>
      </w:r>
    </w:p>
    <w:p w:rsidR="00CB7CC9" w:rsidRDefault="00CC7999">
      <w:pPr>
        <w:numPr>
          <w:ilvl w:val="0"/>
          <w:numId w:val="42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наличии на отходящей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предохранителей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CB7CC9" w:rsidRDefault="00CC7999">
      <w:pPr>
        <w:numPr>
          <w:ilvl w:val="0"/>
          <w:numId w:val="42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наличии на отходящей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автоматического выключателя старого образца;</w:t>
      </w:r>
    </w:p>
    <w:p w:rsidR="00CB7CC9" w:rsidRDefault="00CC7999">
      <w:pPr>
        <w:numPr>
          <w:ilvl w:val="0"/>
          <w:numId w:val="42"/>
        </w:numPr>
        <w:tabs>
          <w:tab w:val="left" w:pos="426"/>
        </w:tabs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необходимости в строительстве/реконструкции участка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протяженностью более 40 метров.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стальные опоры, а также стальные детали железобетонных и деревянных опор и конструкций, металлоконструкции фундаментов, U-образные болты, крепежные изделия следует защищать от коррозии на заводах-изготовителях методом горячего </w:t>
      </w:r>
      <w:proofErr w:type="spellStart"/>
      <w:r>
        <w:rPr>
          <w:sz w:val="24"/>
          <w:szCs w:val="24"/>
        </w:rPr>
        <w:t>цинкования</w:t>
      </w:r>
      <w:proofErr w:type="spellEnd"/>
      <w:r>
        <w:rPr>
          <w:sz w:val="24"/>
          <w:szCs w:val="24"/>
        </w:rPr>
        <w:t>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опорах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нанесены постоянные знаки, согласно п.2.4.7. ПУЭ (7-ое издание), </w:t>
      </w:r>
      <w:proofErr w:type="spellStart"/>
      <w:r>
        <w:rPr>
          <w:sz w:val="24"/>
          <w:szCs w:val="24"/>
        </w:rPr>
        <w:t>брэндбуку</w:t>
      </w:r>
      <w:proofErr w:type="spellEnd"/>
      <w:r>
        <w:rPr>
          <w:sz w:val="24"/>
          <w:szCs w:val="24"/>
        </w:rPr>
        <w:t xml:space="preserve">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МИ БП 10.1/05-01/2020 и п.4.1.2. СТО 34.01-24-001-2015. 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защиту сетей от перенапряжения и заземление выполнить согласно ПУЭ.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>
        <w:rPr>
          <w:sz w:val="24"/>
          <w:szCs w:val="24"/>
        </w:rPr>
        <w:t>цинкирующий</w:t>
      </w:r>
      <w:proofErr w:type="spellEnd"/>
      <w:r>
        <w:rPr>
          <w:sz w:val="24"/>
          <w:szCs w:val="24"/>
        </w:rPr>
        <w:t xml:space="preserve"> состав (холодный цинк).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провод СИП должен соответствовать ГОСТ Р 31946-2012.</w:t>
      </w:r>
    </w:p>
    <w:p w:rsidR="00CB7CC9" w:rsidRDefault="00CC7999">
      <w:pPr>
        <w:pStyle w:val="afa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запретить применение </w:t>
      </w:r>
      <w:proofErr w:type="spellStart"/>
      <w:r>
        <w:rPr>
          <w:sz w:val="24"/>
          <w:szCs w:val="24"/>
        </w:rPr>
        <w:t>ответвительных</w:t>
      </w:r>
      <w:proofErr w:type="spellEnd"/>
      <w:r>
        <w:rPr>
          <w:sz w:val="24"/>
          <w:szCs w:val="24"/>
        </w:rPr>
        <w:t xml:space="preserve"> зажимов типа СИП/СИП в месте присоединения изолированного и неизолированного проводов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(например, при монтаже отпаек, выполненных изолированным проводом типа СИП-2 от магистрали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выполненных неизолированным проводом типов АС или А любых сечений);</w:t>
      </w:r>
    </w:p>
    <w:p w:rsidR="00CB7CC9" w:rsidRDefault="00CC7999">
      <w:pPr>
        <w:pStyle w:val="afa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металлоконструкции опор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>
        <w:rPr>
          <w:sz w:val="24"/>
          <w:szCs w:val="24"/>
        </w:rPr>
        <w:t>цинкования</w:t>
      </w:r>
      <w:proofErr w:type="spellEnd"/>
      <w:r>
        <w:rPr>
          <w:sz w:val="24"/>
          <w:szCs w:val="24"/>
        </w:rPr>
        <w:t>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начале и в конце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сечение провода на магистрали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с распределенной нагрузкой должно быть не менее 50 мм2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ответвления к вводам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потребителей выполнить проводом СИП-4 сечением                             не менее 16 мм2;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прокладке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провод СИП должен соответствовать ГОСТ Р 31946-2012;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линейная арматура для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                                          РФ ГОСТ 31946-2012;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ответвительные</w:t>
      </w:r>
      <w:proofErr w:type="spellEnd"/>
      <w:r>
        <w:rPr>
          <w:sz w:val="24"/>
          <w:szCs w:val="24"/>
        </w:rPr>
        <w:t xml:space="preserve"> зажимы должны быть снабжены </w:t>
      </w:r>
      <w:proofErr w:type="spellStart"/>
      <w:r>
        <w:rPr>
          <w:sz w:val="24"/>
          <w:szCs w:val="24"/>
        </w:rPr>
        <w:t>срывной</w:t>
      </w:r>
      <w:proofErr w:type="spellEnd"/>
      <w:r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в </w:t>
      </w:r>
      <w:proofErr w:type="spellStart"/>
      <w:r>
        <w:rPr>
          <w:sz w:val="24"/>
          <w:szCs w:val="24"/>
        </w:rPr>
        <w:t>полнофазном</w:t>
      </w:r>
      <w:proofErr w:type="spellEnd"/>
      <w:r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  <w:r>
        <w:rPr>
          <w:sz w:val="24"/>
          <w:szCs w:val="24"/>
          <w:lang w:val="en-US"/>
        </w:rPr>
        <w:t>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исполнительной и проектной документации прикладывать ведомость координат опор и ТП.</w:t>
      </w:r>
    </w:p>
    <w:p w:rsidR="00CB7CC9" w:rsidRDefault="00CC79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Исключить установку стальных многогранных опор, использовать анкерные и угловые анкерные опоры на стойках СВп-95 (кроме б/у опор заказчика), СВп-110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б/у опоры заказчика, если применять за место стойки СВп-95).</w:t>
      </w:r>
    </w:p>
    <w:p w:rsidR="00CB7CC9" w:rsidRDefault="00CC7999">
      <w:pPr>
        <w:pStyle w:val="26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В труднодоступных болотистых местах применять современные деревянные опоры;</w:t>
      </w:r>
    </w:p>
    <w:p w:rsidR="00CB7CC9" w:rsidRDefault="00CC7999">
      <w:pPr>
        <w:pStyle w:val="26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строительстве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протяженностью до 30 м исключить применение </w:t>
      </w:r>
      <w:proofErr w:type="spellStart"/>
      <w:r>
        <w:rPr>
          <w:sz w:val="24"/>
          <w:szCs w:val="24"/>
        </w:rPr>
        <w:t>двухстоечных</w:t>
      </w:r>
      <w:proofErr w:type="spellEnd"/>
      <w:r>
        <w:rPr>
          <w:sz w:val="24"/>
          <w:szCs w:val="24"/>
        </w:rPr>
        <w:t xml:space="preserve"> опор А23 (проект 25.0017), применять одностоечные опоры типа К21 (проект 21.0112) с заглублением на 3 метра.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Учет электрической энергии: </w:t>
      </w:r>
    </w:p>
    <w:p w:rsidR="00CB7CC9" w:rsidRDefault="00CC7999">
      <w:pPr>
        <w:pStyle w:val="af8"/>
        <w:tabs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Осуществить монтаж шкафов учета с установкой </w:t>
      </w:r>
      <w:r w:rsidRPr="00CC7999">
        <w:rPr>
          <w:sz w:val="24"/>
          <w:szCs w:val="24"/>
        </w:rPr>
        <w:t>1</w:t>
      </w:r>
      <w:r w:rsidR="00A1574E">
        <w:rPr>
          <w:sz w:val="24"/>
          <w:szCs w:val="24"/>
        </w:rPr>
        <w:t xml:space="preserve"> электронного</w:t>
      </w:r>
      <w:r>
        <w:rPr>
          <w:sz w:val="24"/>
          <w:szCs w:val="24"/>
        </w:rPr>
        <w:t xml:space="preserve"> прибор</w:t>
      </w:r>
      <w:r w:rsidR="00A1574E">
        <w:rPr>
          <w:sz w:val="24"/>
          <w:szCs w:val="24"/>
        </w:rPr>
        <w:t>а</w:t>
      </w:r>
      <w:r>
        <w:rPr>
          <w:sz w:val="24"/>
          <w:szCs w:val="24"/>
        </w:rPr>
        <w:t xml:space="preserve"> учета электрической энергии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CB7CC9" w:rsidRDefault="00CC7999">
      <w:pPr>
        <w:pStyle w:val="af8"/>
        <w:tabs>
          <w:tab w:val="left" w:pos="706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проведению СМР и ПНР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Последовательность проведения работ: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6/0,4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РЭС и прописывание элементов в АСТУ ОТУ (визуально, и привязка ТС, ТИ и ТУ).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Основные требования при производстве работ: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Выполнение при необходимости (в соответствии с проектом) землеустроительных работ.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при необходимости (</w:t>
      </w:r>
      <w:r>
        <w:rPr>
          <w:bCs/>
          <w:i/>
          <w:sz w:val="24"/>
          <w:szCs w:val="24"/>
        </w:rPr>
        <w:t>при соответствующем обосновании</w:t>
      </w:r>
      <w:r>
        <w:rPr>
          <w:bCs/>
          <w:iCs/>
          <w:sz w:val="24"/>
          <w:szCs w:val="24"/>
        </w:rPr>
        <w:t>) разрешений на производство земляных работ.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CB7CC9" w:rsidRDefault="00CC7999">
      <w:pPr>
        <w:pStyle w:val="af8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>
        <w:rPr>
          <w:sz w:val="24"/>
          <w:szCs w:val="24"/>
        </w:rPr>
        <w:t>эксплуатацию Заказчиком по завершении работ.</w:t>
      </w:r>
    </w:p>
    <w:p w:rsidR="00CB7CC9" w:rsidRDefault="00CB7CC9">
      <w:pPr>
        <w:pStyle w:val="af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426"/>
          <w:tab w:val="left" w:pos="993"/>
        </w:tabs>
        <w:ind w:left="1850"/>
        <w:jc w:val="both"/>
        <w:rPr>
          <w:sz w:val="24"/>
          <w:szCs w:val="24"/>
        </w:rPr>
      </w:pPr>
      <w:bookmarkStart w:id="0" w:name="_Ref480380245"/>
      <w:r>
        <w:rPr>
          <w:sz w:val="24"/>
          <w:szCs w:val="24"/>
        </w:rPr>
        <w:t>Требования по обеспечению информационной безопасности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создания подсистемы безопасности, </w:t>
      </w:r>
      <w:proofErr w:type="spellStart"/>
      <w:r>
        <w:rPr>
          <w:sz w:val="24"/>
          <w:szCs w:val="24"/>
        </w:rPr>
        <w:t>этапность</w:t>
      </w:r>
      <w:proofErr w:type="spellEnd"/>
      <w:r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426"/>
          <w:tab w:val="left" w:pos="993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и аутентификация (ИАФ);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доступом (УПД);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ограничение программной среды (ОПС);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машинных носителей информации (ЗНИ);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аудит безопасности (АУД);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антивирусная защита (АВЗ);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предотвращение вторжений (компьютерных атак) (СОВ);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целостности (ОЦЛ);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доступности (ОДТ);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технических средств и систем (ЗТС);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мероприятий по обеспечению безопасности (ПЛН);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конфигурацией (УКФ);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обновлениями программного обеспечения (ОПО);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реагирование на инциденты информационной безопасности (ИНЦ);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действий в нештатных ситуациях (ДНС);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и обучение персонала (ИПО).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:rsidR="00CB7CC9" w:rsidRDefault="00CB7CC9">
      <w:pPr>
        <w:pStyle w:val="af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подрядной организации</w:t>
      </w:r>
    </w:p>
    <w:p w:rsidR="00CB7CC9" w:rsidRDefault="00CC7999">
      <w:pPr>
        <w:pStyle w:val="af8"/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Проектная организация:</w:t>
      </w:r>
    </w:p>
    <w:p w:rsidR="00CB7CC9" w:rsidRDefault="00CC7999">
      <w:pPr>
        <w:pStyle w:val="af8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CB7CC9" w:rsidRDefault="00CC7999">
      <w:pPr>
        <w:pStyle w:val="af8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имеет право привлекать Субподрядные организации, по согласованию с Заказчиком.</w:t>
      </w:r>
    </w:p>
    <w:p w:rsidR="00CB7CC9" w:rsidRDefault="00CB7CC9">
      <w:pPr>
        <w:pStyle w:val="af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МЕРЫ ПО ПРЕДОСТАВЛЕНИЮ НАЦИОНАЛЬНОГО РЕЖИМА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Основание: постановление Правительства Российской Федерации от 23.12.</w:t>
      </w:r>
      <w:r>
        <w:rPr>
          <w:bCs/>
          <w:iCs/>
          <w:sz w:val="24"/>
          <w:szCs w:val="24"/>
        </w:rPr>
        <w:t>2024</w:t>
      </w:r>
      <w:r>
        <w:rPr>
          <w:sz w:val="24"/>
          <w:szCs w:val="24"/>
        </w:rPr>
        <w:t xml:space="preserve">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Style w:val="afff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1214"/>
        <w:gridCol w:w="1217"/>
        <w:gridCol w:w="1417"/>
        <w:gridCol w:w="2383"/>
      </w:tblGrid>
      <w:tr w:rsidR="00CB7CC9">
        <w:trPr>
          <w:trHeight w:val="466"/>
        </w:trPr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Предоставление национального режима в соответствии с ПП 1875 от 23.12.2024.</w:t>
            </w:r>
          </w:p>
        </w:tc>
      </w:tr>
      <w:tr w:rsidR="00CB7CC9">
        <w:trPr>
          <w:trHeight w:val="119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CB7CC9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ВЛИ 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CB7CC9">
        <w:trPr>
          <w:trHeight w:val="4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прибора учета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</w:tbl>
    <w:p w:rsidR="00CB7CC9" w:rsidRDefault="00CB7CC9">
      <w:pPr>
        <w:pStyle w:val="af8"/>
        <w:tabs>
          <w:tab w:val="left" w:pos="993"/>
        </w:tabs>
        <w:spacing w:line="276" w:lineRule="auto"/>
        <w:ind w:left="567" w:firstLine="0"/>
        <w:jc w:val="both"/>
        <w:rPr>
          <w:b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Гарантийные обязательства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Гарантия на СМР и ПНР, оборудование и материалы устанавливается</w:t>
      </w:r>
      <w:r>
        <w:rPr>
          <w:sz w:val="24"/>
          <w:szCs w:val="24"/>
          <w:lang w:eastAsia="ru-RU"/>
        </w:rPr>
        <w:t xml:space="preserve"> на </w:t>
      </w:r>
      <w:r>
        <w:rPr>
          <w:bCs/>
          <w:sz w:val="24"/>
          <w:szCs w:val="24"/>
          <w:lang w:eastAsia="ru-RU"/>
        </w:rPr>
        <w:t>36</w:t>
      </w:r>
      <w:r>
        <w:rPr>
          <w:sz w:val="24"/>
          <w:szCs w:val="24"/>
          <w:lang w:eastAsia="ru-RU"/>
        </w:rPr>
        <w:t xml:space="preserve"> месяцев </w:t>
      </w:r>
      <w:r>
        <w:rPr>
          <w:sz w:val="24"/>
          <w:szCs w:val="24"/>
          <w:lang w:eastAsia="ru-RU"/>
        </w:rPr>
        <w:br/>
        <w:t xml:space="preserve">с даты ввода объекта в эксплуатацию. </w:t>
      </w:r>
      <w:r>
        <w:rPr>
          <w:sz w:val="24"/>
          <w:szCs w:val="24"/>
        </w:rPr>
        <w:t> Время начала исчисления гарантийного срока – с момента ввода в эксплуатацию</w:t>
      </w:r>
      <w:r>
        <w:rPr>
          <w:bCs/>
          <w:iCs/>
          <w:sz w:val="24"/>
          <w:szCs w:val="24"/>
        </w:rPr>
        <w:t>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</w:t>
      </w:r>
      <w:r>
        <w:rPr>
          <w:bCs/>
          <w:iCs/>
          <w:sz w:val="24"/>
          <w:szCs w:val="24"/>
        </w:rPr>
        <w:br/>
        <w:t>и сроков их устранения не позднее 3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B7CC9" w:rsidRDefault="00CB7CC9">
      <w:pPr>
        <w:pStyle w:val="af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Сроки выполнения работ </w:t>
      </w:r>
    </w:p>
    <w:p w:rsidR="00CB7CC9" w:rsidRDefault="00CC7999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выполнения работ: 4 месяца с даты заключения договора. </w:t>
      </w:r>
    </w:p>
    <w:p w:rsidR="00CB7CC9" w:rsidRDefault="00CC7999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CB7CC9" w:rsidRDefault="00CB7CC9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Градостроительный кодекс РФ;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Земельный кодекс РФ;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Лесной кодекс РФ; 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ПУЭ (действующее издание);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ПТЭ (действующее издание);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CB7CC9" w:rsidRDefault="00CC7999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CB7CC9" w:rsidRDefault="00CC7999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CB7CC9" w:rsidRDefault="00CC7999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ГОСТ Р 21.101-2020 «Система проектной документации для строительства (СПДС). Основные требования к проектной и рабочей документации»;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Положение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«О единой технической политике в электросетевом комплексе»;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Концепция </w:t>
      </w:r>
      <w:proofErr w:type="spellStart"/>
      <w:r>
        <w:rPr>
          <w:sz w:val="24"/>
          <w:szCs w:val="24"/>
        </w:rPr>
        <w:t>цифровизации</w:t>
      </w:r>
      <w:proofErr w:type="spellEnd"/>
      <w:r>
        <w:rPr>
          <w:sz w:val="24"/>
          <w:szCs w:val="24"/>
        </w:rPr>
        <w:t xml:space="preserve"> сетей на 2018-2030 гг.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B7CC9" w:rsidRDefault="00CC799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Ответвительная</w:t>
      </w:r>
      <w:proofErr w:type="spellEnd"/>
      <w:r>
        <w:rPr>
          <w:sz w:val="24"/>
          <w:szCs w:val="24"/>
        </w:rPr>
        <w:t xml:space="preserve"> арматура.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>
        <w:rPr>
          <w:sz w:val="24"/>
          <w:szCs w:val="24"/>
          <w:lang w:eastAsia="en-US"/>
        </w:rPr>
        <w:t>Россети</w:t>
      </w:r>
      <w:proofErr w:type="spellEnd"/>
      <w:r>
        <w:rPr>
          <w:sz w:val="24"/>
          <w:szCs w:val="24"/>
          <w:lang w:eastAsia="en-US"/>
        </w:rPr>
        <w:t>» от 25.05.2020 №121 р)</w:t>
      </w:r>
      <w:r>
        <w:rPr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>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№ 14278. Утверждены Минтопэнерго 20.05.1994 г.;</w:t>
      </w:r>
    </w:p>
    <w:p w:rsidR="00CB7CC9" w:rsidRDefault="00CC799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:rsidR="00CB7CC9" w:rsidRDefault="00CC799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мощностью 63-2500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Центра» по установке индикаторов короткого замыкания на воздушных линиях электропередач в сетях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eastAsia="ru-RU"/>
        </w:rPr>
        <w:t>МИ БП 11/06-01/2020</w:t>
      </w:r>
      <w:r>
        <w:rPr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Приволжье», МИ БП 10.1/05-01/2020;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sz w:val="24"/>
          <w:szCs w:val="24"/>
        </w:rPr>
        <w:br/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</w:t>
      </w:r>
      <w:r>
        <w:rPr>
          <w:rFonts w:eastAsia="Calibri"/>
          <w:sz w:val="24"/>
          <w:szCs w:val="24"/>
          <w:lang w:eastAsia="en-US"/>
        </w:rPr>
        <w:t xml:space="preserve"> РК БП 20/08-02/2019;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>
        <w:rPr>
          <w:rFonts w:eastAsia="Calibri"/>
          <w:sz w:val="24"/>
          <w:szCs w:val="24"/>
          <w:lang w:eastAsia="en-US"/>
        </w:rPr>
        <w:t>Россети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Центр и Приволжье» РК БП 20/08-02/2019;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Письмо филиала ПАО «</w:t>
      </w:r>
      <w:proofErr w:type="spellStart"/>
      <w:r>
        <w:rPr>
          <w:rFonts w:eastAsia="Calibri"/>
          <w:sz w:val="24"/>
          <w:szCs w:val="24"/>
          <w:lang w:eastAsia="en-US"/>
        </w:rPr>
        <w:t>Россети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Центр и Приволжья» - «Тулэнерго» №МР7-ТуЭ/14/2993 от 14.04.2021 «Об усовершенствовании технологии монтажа «подушки» под фундамент КТП </w:t>
      </w:r>
      <w:proofErr w:type="spellStart"/>
      <w:r>
        <w:rPr>
          <w:rFonts w:eastAsia="Calibri"/>
          <w:sz w:val="24"/>
          <w:szCs w:val="24"/>
          <w:lang w:eastAsia="en-US"/>
        </w:rPr>
        <w:t>киоскового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типа».</w:t>
      </w:r>
    </w:p>
    <w:p w:rsidR="00CB7CC9" w:rsidRDefault="00CC7999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>
        <w:rPr>
          <w:color w:val="auto"/>
        </w:rPr>
        <w:t>т.ч</w:t>
      </w:r>
      <w:proofErr w:type="spellEnd"/>
      <w:r>
        <w:rPr>
          <w:color w:val="auto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>
        <w:rPr>
          <w:color w:val="auto"/>
        </w:rPr>
        <w:t>Россети</w:t>
      </w:r>
      <w:proofErr w:type="spellEnd"/>
      <w:r>
        <w:rPr>
          <w:color w:val="auto"/>
        </w:rPr>
        <w:t xml:space="preserve"> Центр и Приволжье».</w:t>
      </w: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C7999">
      <w:pPr>
        <w:pStyle w:val="Default"/>
        <w:jc w:val="both"/>
        <w:rPr>
          <w:color w:val="auto"/>
        </w:rPr>
      </w:pPr>
      <w:r>
        <w:rPr>
          <w:color w:val="auto"/>
        </w:rPr>
        <w:t>Приложение. Перечень объектов технологического присоединения с предварительными объемами выполняемых работ.</w:t>
      </w: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CB7CC9">
        <w:trPr>
          <w:trHeight w:val="752"/>
        </w:trPr>
        <w:tc>
          <w:tcPr>
            <w:tcW w:w="177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C799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Исп.: Зайцева Екатерина Михайловна</w:t>
      </w:r>
    </w:p>
    <w:p w:rsidR="00CB7CC9" w:rsidRDefault="00CC799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+7(4872) 47-84-77 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вн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>. 2477</w:t>
      </w:r>
    </w:p>
    <w:p w:rsidR="00CB7CC9" w:rsidRDefault="00CB7CC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sectPr w:rsidR="00CB7CC9">
          <w:footerReference w:type="even" r:id="rId37"/>
          <w:footerReference w:type="default" r:id="rId38"/>
          <w:type w:val="continuous"/>
          <w:pgSz w:w="11906" w:h="16838"/>
          <w:pgMar w:top="993" w:right="567" w:bottom="1276" w:left="1134" w:header="709" w:footer="709" w:gutter="0"/>
          <w:cols w:space="708"/>
          <w:titlePg/>
          <w:docGrid w:linePitch="360"/>
        </w:sectPr>
      </w:pPr>
    </w:p>
    <w:p w:rsidR="00CB7CC9" w:rsidRDefault="00CC79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ТЗ/71/2026/</w:t>
      </w:r>
      <w:r w:rsidR="000A7C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/2/0</w:t>
      </w:r>
      <w:r w:rsidR="000A7C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</w:t>
      </w:r>
    </w:p>
    <w:p w:rsidR="000A7C81" w:rsidRDefault="000A7C8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B7CC9" w:rsidRDefault="000A7C81">
      <w:pPr>
        <w:pStyle w:val="Default"/>
        <w:tabs>
          <w:tab w:val="left" w:pos="567"/>
        </w:tabs>
        <w:ind w:hanging="284"/>
        <w:jc w:val="both"/>
        <w:rPr>
          <w:color w:val="auto"/>
        </w:rPr>
      </w:pPr>
      <w:r w:rsidRPr="000A7C81">
        <w:drawing>
          <wp:inline distT="0" distB="0" distL="0" distR="0">
            <wp:extent cx="9655791" cy="9347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3683" cy="93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CC9" w:rsidRDefault="00CB7CC9" w:rsidP="00CC799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60"/>
        <w:gridCol w:w="5906"/>
        <w:gridCol w:w="3687"/>
      </w:tblGrid>
      <w:tr w:rsidR="00CB7CC9">
        <w:trPr>
          <w:trHeight w:val="752"/>
        </w:trPr>
        <w:tc>
          <w:tcPr>
            <w:tcW w:w="177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bookmarkStart w:id="1" w:name="_GoBack"/>
      <w:bookmarkEnd w:id="1"/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C799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Исп.: Зайцева Екатерина Михайловна</w:t>
      </w:r>
    </w:p>
    <w:p w:rsidR="00CB7CC9" w:rsidRDefault="00CC799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+7(4872) 47-84-77 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вн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>. 2477</w:t>
      </w:r>
    </w:p>
    <w:p w:rsidR="00CB7CC9" w:rsidRDefault="00CB7CC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sectPr w:rsidR="00CB7CC9"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CC9" w:rsidRDefault="00CC7999">
      <w:pPr>
        <w:spacing w:after="0" w:line="240" w:lineRule="auto"/>
      </w:pPr>
      <w:r>
        <w:separator/>
      </w:r>
    </w:p>
  </w:endnote>
  <w:endnote w:type="continuationSeparator" w:id="0">
    <w:p w:rsidR="00CB7CC9" w:rsidRDefault="00CC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00"/>
    <w:family w:val="auto"/>
    <w:pitch w:val="default"/>
  </w:font>
  <w:font w:name="Mangal">
    <w:panose1 w:val="02040503050203030202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CC9" w:rsidRDefault="00CC79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B7CC9" w:rsidRDefault="00CB7CC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CC9" w:rsidRDefault="00CC79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A7C81">
      <w:rPr>
        <w:rStyle w:val="af5"/>
        <w:noProof/>
      </w:rPr>
      <w:t>18</w:t>
    </w:r>
    <w:r>
      <w:rPr>
        <w:rStyle w:val="af5"/>
      </w:rPr>
      <w:fldChar w:fldCharType="end"/>
    </w:r>
  </w:p>
  <w:p w:rsidR="00CB7CC9" w:rsidRDefault="00CB7CC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CC9" w:rsidRDefault="00CC7999">
      <w:pPr>
        <w:spacing w:after="0" w:line="240" w:lineRule="auto"/>
      </w:pPr>
      <w:r>
        <w:separator/>
      </w:r>
    </w:p>
  </w:footnote>
  <w:footnote w:type="continuationSeparator" w:id="0">
    <w:p w:rsidR="00CB7CC9" w:rsidRDefault="00CC7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1F78"/>
    <w:multiLevelType w:val="multilevel"/>
    <w:tmpl w:val="BCE648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157CE8"/>
    <w:multiLevelType w:val="hybridMultilevel"/>
    <w:tmpl w:val="3B405B0C"/>
    <w:lvl w:ilvl="0" w:tplc="5CDCF87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5F5CD47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F74E69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B5D2AAF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ADB2317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2766FC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7923F1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09494C2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65C19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E93DF9"/>
    <w:multiLevelType w:val="multilevel"/>
    <w:tmpl w:val="B86E052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C2E032E"/>
    <w:multiLevelType w:val="multilevel"/>
    <w:tmpl w:val="24D8F63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10F95326"/>
    <w:multiLevelType w:val="hybridMultilevel"/>
    <w:tmpl w:val="2CB44EF2"/>
    <w:styleLink w:val="WWNum12"/>
    <w:lvl w:ilvl="0" w:tplc="0D70E12A">
      <w:start w:val="1"/>
      <w:numFmt w:val="bullet"/>
      <w:pStyle w:val="WWNum12"/>
      <w:lvlText w:val=""/>
      <w:lvlJc w:val="left"/>
      <w:rPr>
        <w:rFonts w:ascii="Symbol" w:hAnsi="Symbol"/>
      </w:rPr>
    </w:lvl>
    <w:lvl w:ilvl="1" w:tplc="83EEB50E">
      <w:start w:val="1"/>
      <w:numFmt w:val="bullet"/>
      <w:lvlText w:val="o"/>
      <w:lvlJc w:val="left"/>
      <w:rPr>
        <w:rFonts w:ascii="Courier New" w:hAnsi="Courier New" w:cs="Courier New"/>
      </w:rPr>
    </w:lvl>
    <w:lvl w:ilvl="2" w:tplc="5C4079FE">
      <w:start w:val="1"/>
      <w:numFmt w:val="bullet"/>
      <w:lvlText w:val=""/>
      <w:lvlJc w:val="left"/>
      <w:rPr>
        <w:rFonts w:ascii="Wingdings" w:hAnsi="Wingdings"/>
      </w:rPr>
    </w:lvl>
    <w:lvl w:ilvl="3" w:tplc="7464C546">
      <w:start w:val="1"/>
      <w:numFmt w:val="bullet"/>
      <w:lvlText w:val=""/>
      <w:lvlJc w:val="left"/>
      <w:rPr>
        <w:rFonts w:ascii="Symbol" w:hAnsi="Symbol"/>
      </w:rPr>
    </w:lvl>
    <w:lvl w:ilvl="4" w:tplc="B24481C8">
      <w:start w:val="1"/>
      <w:numFmt w:val="bullet"/>
      <w:lvlText w:val="o"/>
      <w:lvlJc w:val="left"/>
      <w:rPr>
        <w:rFonts w:ascii="Courier New" w:hAnsi="Courier New" w:cs="Courier New"/>
      </w:rPr>
    </w:lvl>
    <w:lvl w:ilvl="5" w:tplc="61624E4E">
      <w:start w:val="1"/>
      <w:numFmt w:val="bullet"/>
      <w:lvlText w:val=""/>
      <w:lvlJc w:val="left"/>
      <w:rPr>
        <w:rFonts w:ascii="Wingdings" w:hAnsi="Wingdings"/>
      </w:rPr>
    </w:lvl>
    <w:lvl w:ilvl="6" w:tplc="7D84968A">
      <w:start w:val="1"/>
      <w:numFmt w:val="bullet"/>
      <w:lvlText w:val=""/>
      <w:lvlJc w:val="left"/>
      <w:rPr>
        <w:rFonts w:ascii="Symbol" w:hAnsi="Symbol"/>
      </w:rPr>
    </w:lvl>
    <w:lvl w:ilvl="7" w:tplc="A5A2E0CC">
      <w:start w:val="1"/>
      <w:numFmt w:val="bullet"/>
      <w:lvlText w:val="o"/>
      <w:lvlJc w:val="left"/>
      <w:rPr>
        <w:rFonts w:ascii="Courier New" w:hAnsi="Courier New" w:cs="Courier New"/>
      </w:rPr>
    </w:lvl>
    <w:lvl w:ilvl="8" w:tplc="9ABA39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129A426F"/>
    <w:multiLevelType w:val="hybridMultilevel"/>
    <w:tmpl w:val="AC42D73E"/>
    <w:lvl w:ilvl="0" w:tplc="F2C058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9C3635CE">
      <w:start w:val="1"/>
      <w:numFmt w:val="lowerLetter"/>
      <w:lvlText w:val="%2."/>
      <w:lvlJc w:val="left"/>
      <w:pPr>
        <w:ind w:left="1114" w:hanging="360"/>
      </w:pPr>
    </w:lvl>
    <w:lvl w:ilvl="2" w:tplc="95B81D94">
      <w:start w:val="1"/>
      <w:numFmt w:val="lowerRoman"/>
      <w:lvlText w:val="%3."/>
      <w:lvlJc w:val="right"/>
      <w:pPr>
        <w:ind w:left="1834" w:hanging="180"/>
      </w:pPr>
    </w:lvl>
    <w:lvl w:ilvl="3" w:tplc="20B2938E">
      <w:start w:val="1"/>
      <w:numFmt w:val="decimal"/>
      <w:lvlText w:val="%4."/>
      <w:lvlJc w:val="left"/>
      <w:pPr>
        <w:ind w:left="2554" w:hanging="360"/>
      </w:pPr>
    </w:lvl>
    <w:lvl w:ilvl="4" w:tplc="300A42CC">
      <w:start w:val="1"/>
      <w:numFmt w:val="lowerLetter"/>
      <w:lvlText w:val="%5."/>
      <w:lvlJc w:val="left"/>
      <w:pPr>
        <w:ind w:left="3274" w:hanging="360"/>
      </w:pPr>
    </w:lvl>
    <w:lvl w:ilvl="5" w:tplc="E75A0D04">
      <w:start w:val="1"/>
      <w:numFmt w:val="lowerRoman"/>
      <w:lvlText w:val="%6."/>
      <w:lvlJc w:val="right"/>
      <w:pPr>
        <w:ind w:left="3994" w:hanging="180"/>
      </w:pPr>
    </w:lvl>
    <w:lvl w:ilvl="6" w:tplc="9A2292D0">
      <w:start w:val="1"/>
      <w:numFmt w:val="decimal"/>
      <w:lvlText w:val="%7."/>
      <w:lvlJc w:val="left"/>
      <w:pPr>
        <w:ind w:left="4714" w:hanging="360"/>
      </w:pPr>
    </w:lvl>
    <w:lvl w:ilvl="7" w:tplc="CD224264">
      <w:start w:val="1"/>
      <w:numFmt w:val="lowerLetter"/>
      <w:lvlText w:val="%8."/>
      <w:lvlJc w:val="left"/>
      <w:pPr>
        <w:ind w:left="5434" w:hanging="360"/>
      </w:pPr>
    </w:lvl>
    <w:lvl w:ilvl="8" w:tplc="7F427F3A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2EC1121"/>
    <w:multiLevelType w:val="multilevel"/>
    <w:tmpl w:val="9FA04B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12EC20B9"/>
    <w:multiLevelType w:val="hybridMultilevel"/>
    <w:tmpl w:val="FF22572C"/>
    <w:lvl w:ilvl="0" w:tplc="8B141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28207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BE4196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F4385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B52EC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F2263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A2E52F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D46C0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56094A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D17BF6"/>
    <w:multiLevelType w:val="hybridMultilevel"/>
    <w:tmpl w:val="DEDA00E6"/>
    <w:lvl w:ilvl="0" w:tplc="AE0EF742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49C212A4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75CC998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3CEBC62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7256CA30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1518B014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6D9A16F0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530415E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9646A9C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1681787F"/>
    <w:multiLevelType w:val="multilevel"/>
    <w:tmpl w:val="3F2014F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1CF63DC8"/>
    <w:multiLevelType w:val="hybridMultilevel"/>
    <w:tmpl w:val="E7C03CA2"/>
    <w:lvl w:ilvl="0" w:tplc="6B9245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B400FAE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8E0E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E8C0F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784BB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9E4BB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2C6E02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1EA29A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57000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04A6D93"/>
    <w:multiLevelType w:val="hybridMultilevel"/>
    <w:tmpl w:val="CAC44A6C"/>
    <w:lvl w:ilvl="0" w:tplc="96BADD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16A5E5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7A2909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FA0E72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AC608D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8EE2DA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D885CD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C18448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CDED88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AC00CE"/>
    <w:multiLevelType w:val="multilevel"/>
    <w:tmpl w:val="B810CC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3" w15:restartNumberingAfterBreak="0">
    <w:nsid w:val="240F013F"/>
    <w:multiLevelType w:val="hybridMultilevel"/>
    <w:tmpl w:val="E662C814"/>
    <w:lvl w:ilvl="0" w:tplc="5844A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B6F6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EA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4C2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80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702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49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BE1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240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E0DD0"/>
    <w:multiLevelType w:val="hybridMultilevel"/>
    <w:tmpl w:val="3CD2A8A8"/>
    <w:lvl w:ilvl="0" w:tplc="B4022A46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39862B2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0B80B36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689ED8FC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D0E2126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E10419F0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35A893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46D027A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F09C1EB2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2D0B329B"/>
    <w:multiLevelType w:val="multilevel"/>
    <w:tmpl w:val="6AB8B042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6" w15:restartNumberingAfterBreak="0">
    <w:nsid w:val="2E512354"/>
    <w:multiLevelType w:val="hybridMultilevel"/>
    <w:tmpl w:val="EDF682E2"/>
    <w:lvl w:ilvl="0" w:tplc="A4362A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058A98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ABAA33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0474B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1900B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54EDA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930C17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6811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4C0DA7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99151E"/>
    <w:multiLevelType w:val="multilevel"/>
    <w:tmpl w:val="40F2DA5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380429D5"/>
    <w:multiLevelType w:val="multilevel"/>
    <w:tmpl w:val="790ADC0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40204012"/>
    <w:multiLevelType w:val="hybridMultilevel"/>
    <w:tmpl w:val="4FF251DC"/>
    <w:lvl w:ilvl="0" w:tplc="D75EB10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F578C408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FCBE92D6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8EB05BA0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64E0834C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A066D6AA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BD4449B6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AF6700C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DA0FBA8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43537E38"/>
    <w:multiLevelType w:val="hybridMultilevel"/>
    <w:tmpl w:val="18442F70"/>
    <w:lvl w:ilvl="0" w:tplc="59E2970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5BBA7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3F674A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6D635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7677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162C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444E1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08CEE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96DA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B13DB9"/>
    <w:multiLevelType w:val="hybridMultilevel"/>
    <w:tmpl w:val="205A6D5C"/>
    <w:lvl w:ilvl="0" w:tplc="E6C4773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6C820E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846F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70CF7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FAB2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5231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5BC05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0A41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F2DE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B6E0041"/>
    <w:multiLevelType w:val="multilevel"/>
    <w:tmpl w:val="84901FF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C1B799C"/>
    <w:multiLevelType w:val="hybridMultilevel"/>
    <w:tmpl w:val="5E84757E"/>
    <w:lvl w:ilvl="0" w:tplc="E18C7098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DAA22030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5788617A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E8B27A34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9A9005DE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4C0DE02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6DBAEE82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AD8C7BF0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EC0E87A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 w15:restartNumberingAfterBreak="0">
    <w:nsid w:val="4E583C62"/>
    <w:multiLevelType w:val="multilevel"/>
    <w:tmpl w:val="22B2631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4E624F8D"/>
    <w:multiLevelType w:val="hybridMultilevel"/>
    <w:tmpl w:val="337EE414"/>
    <w:lvl w:ilvl="0" w:tplc="7760F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664CB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DE7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A1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C2D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E2D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25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AD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EAA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44812"/>
    <w:multiLevelType w:val="multilevel"/>
    <w:tmpl w:val="FC3E649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 w15:restartNumberingAfterBreak="0">
    <w:nsid w:val="580C02DE"/>
    <w:multiLevelType w:val="multilevel"/>
    <w:tmpl w:val="8F88FE1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58AC0996"/>
    <w:multiLevelType w:val="multilevel"/>
    <w:tmpl w:val="4E48AAE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5BCD052E"/>
    <w:multiLevelType w:val="hybridMultilevel"/>
    <w:tmpl w:val="D3EA5D40"/>
    <w:lvl w:ilvl="0" w:tplc="E8442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0416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761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263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2611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1EC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67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7437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264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A169C"/>
    <w:multiLevelType w:val="hybridMultilevel"/>
    <w:tmpl w:val="46A233B0"/>
    <w:lvl w:ilvl="0" w:tplc="663098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AA285E60">
      <w:start w:val="1"/>
      <w:numFmt w:val="lowerLetter"/>
      <w:lvlText w:val="%2."/>
      <w:lvlJc w:val="left"/>
      <w:pPr>
        <w:ind w:left="1114" w:hanging="360"/>
      </w:pPr>
    </w:lvl>
    <w:lvl w:ilvl="2" w:tplc="26F61D72">
      <w:start w:val="1"/>
      <w:numFmt w:val="lowerRoman"/>
      <w:lvlText w:val="%3."/>
      <w:lvlJc w:val="right"/>
      <w:pPr>
        <w:ind w:left="1834" w:hanging="180"/>
      </w:pPr>
    </w:lvl>
    <w:lvl w:ilvl="3" w:tplc="18DE4E4E">
      <w:start w:val="1"/>
      <w:numFmt w:val="decimal"/>
      <w:lvlText w:val="%4."/>
      <w:lvlJc w:val="left"/>
      <w:pPr>
        <w:ind w:left="2554" w:hanging="360"/>
      </w:pPr>
    </w:lvl>
    <w:lvl w:ilvl="4" w:tplc="6D26A202">
      <w:start w:val="1"/>
      <w:numFmt w:val="lowerLetter"/>
      <w:lvlText w:val="%5."/>
      <w:lvlJc w:val="left"/>
      <w:pPr>
        <w:ind w:left="3274" w:hanging="360"/>
      </w:pPr>
    </w:lvl>
    <w:lvl w:ilvl="5" w:tplc="C92C3D36">
      <w:start w:val="1"/>
      <w:numFmt w:val="lowerRoman"/>
      <w:lvlText w:val="%6."/>
      <w:lvlJc w:val="right"/>
      <w:pPr>
        <w:ind w:left="3994" w:hanging="180"/>
      </w:pPr>
    </w:lvl>
    <w:lvl w:ilvl="6" w:tplc="C33C5566">
      <w:start w:val="1"/>
      <w:numFmt w:val="decimal"/>
      <w:lvlText w:val="%7."/>
      <w:lvlJc w:val="left"/>
      <w:pPr>
        <w:ind w:left="4714" w:hanging="360"/>
      </w:pPr>
    </w:lvl>
    <w:lvl w:ilvl="7" w:tplc="B96E47F8">
      <w:start w:val="1"/>
      <w:numFmt w:val="lowerLetter"/>
      <w:lvlText w:val="%8."/>
      <w:lvlJc w:val="left"/>
      <w:pPr>
        <w:ind w:left="5434" w:hanging="360"/>
      </w:pPr>
    </w:lvl>
    <w:lvl w:ilvl="8" w:tplc="6D1EB82A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626C0699"/>
    <w:multiLevelType w:val="multilevel"/>
    <w:tmpl w:val="A3AC6DD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39F2958"/>
    <w:multiLevelType w:val="hybridMultilevel"/>
    <w:tmpl w:val="BF56C624"/>
    <w:lvl w:ilvl="0" w:tplc="F3909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788D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944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C41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DEA3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F0E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81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2F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C46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A19DB"/>
    <w:multiLevelType w:val="hybridMultilevel"/>
    <w:tmpl w:val="570CD518"/>
    <w:lvl w:ilvl="0" w:tplc="BA68B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32CD2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FF81B5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E8825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9B634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B20BF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BC44A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A54B9F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77CEC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EF1EF5"/>
    <w:multiLevelType w:val="hybridMultilevel"/>
    <w:tmpl w:val="987403BE"/>
    <w:lvl w:ilvl="0" w:tplc="EF82DE2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3F01D3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270FA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CAAF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594308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2543EA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3DC3D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527B3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2A044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C68330F"/>
    <w:multiLevelType w:val="multilevel"/>
    <w:tmpl w:val="7A5202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71DC4F7E"/>
    <w:multiLevelType w:val="hybridMultilevel"/>
    <w:tmpl w:val="A830B28E"/>
    <w:lvl w:ilvl="0" w:tplc="605C22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84FE2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9ACBB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1ADF1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8E247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3E441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39474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A25D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1D6EA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EE486C"/>
    <w:multiLevelType w:val="hybridMultilevel"/>
    <w:tmpl w:val="198C5F5E"/>
    <w:lvl w:ilvl="0" w:tplc="211C888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CD421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52422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E14BEC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712DF6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030C6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6EE63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5AAAB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BED5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DB699D"/>
    <w:multiLevelType w:val="hybridMultilevel"/>
    <w:tmpl w:val="EF90F81A"/>
    <w:lvl w:ilvl="0" w:tplc="987065F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D4AE94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FF8CA2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DD6B6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85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EBAE0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3148D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D2CF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D67D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D85471"/>
    <w:multiLevelType w:val="hybridMultilevel"/>
    <w:tmpl w:val="74C41AE0"/>
    <w:lvl w:ilvl="0" w:tplc="88E07B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E1C34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BFC60E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7047B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D444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1FCEE5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4244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AF413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C2E7FF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1"/>
  </w:num>
  <w:num w:numId="4">
    <w:abstractNumId w:val="11"/>
  </w:num>
  <w:num w:numId="5">
    <w:abstractNumId w:val="20"/>
  </w:num>
  <w:num w:numId="6">
    <w:abstractNumId w:val="37"/>
  </w:num>
  <w:num w:numId="7">
    <w:abstractNumId w:val="34"/>
  </w:num>
  <w:num w:numId="8">
    <w:abstractNumId w:val="14"/>
  </w:num>
  <w:num w:numId="9">
    <w:abstractNumId w:val="8"/>
  </w:num>
  <w:num w:numId="10">
    <w:abstractNumId w:val="3"/>
  </w:num>
  <w:num w:numId="11">
    <w:abstractNumId w:val="28"/>
  </w:num>
  <w:num w:numId="12">
    <w:abstractNumId w:val="38"/>
  </w:num>
  <w:num w:numId="13">
    <w:abstractNumId w:val="4"/>
  </w:num>
  <w:num w:numId="14">
    <w:abstractNumId w:val="25"/>
  </w:num>
  <w:num w:numId="15">
    <w:abstractNumId w:val="16"/>
  </w:num>
  <w:num w:numId="16">
    <w:abstractNumId w:val="36"/>
  </w:num>
  <w:num w:numId="17">
    <w:abstractNumId w:val="1"/>
  </w:num>
  <w:num w:numId="18">
    <w:abstractNumId w:val="7"/>
  </w:num>
  <w:num w:numId="19">
    <w:abstractNumId w:val="13"/>
  </w:num>
  <w:num w:numId="20">
    <w:abstractNumId w:val="26"/>
  </w:num>
  <w:num w:numId="21">
    <w:abstractNumId w:val="9"/>
  </w:num>
  <w:num w:numId="22">
    <w:abstractNumId w:val="24"/>
  </w:num>
  <w:num w:numId="23">
    <w:abstractNumId w:val="30"/>
  </w:num>
  <w:num w:numId="24">
    <w:abstractNumId w:val="33"/>
  </w:num>
  <w:num w:numId="25">
    <w:abstractNumId w:val="23"/>
  </w:num>
  <w:num w:numId="26">
    <w:abstractNumId w:val="29"/>
  </w:num>
  <w:num w:numId="27">
    <w:abstractNumId w:val="12"/>
  </w:num>
  <w:num w:numId="28">
    <w:abstractNumId w:val="31"/>
  </w:num>
  <w:num w:numId="29">
    <w:abstractNumId w:val="10"/>
  </w:num>
  <w:num w:numId="30">
    <w:abstractNumId w:val="19"/>
  </w:num>
  <w:num w:numId="31">
    <w:abstractNumId w:val="2"/>
  </w:num>
  <w:num w:numId="32">
    <w:abstractNumId w:val="27"/>
  </w:num>
  <w:num w:numId="33">
    <w:abstractNumId w:val="39"/>
  </w:num>
  <w:num w:numId="34">
    <w:abstractNumId w:val="5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6"/>
  </w:num>
  <w:num w:numId="39">
    <w:abstractNumId w:val="35"/>
  </w:num>
  <w:num w:numId="40">
    <w:abstractNumId w:val="22"/>
  </w:num>
  <w:num w:numId="41">
    <w:abstractNumId w:val="17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CC9"/>
    <w:rsid w:val="000A7C81"/>
    <w:rsid w:val="001B47E6"/>
    <w:rsid w:val="007E1729"/>
    <w:rsid w:val="0091139F"/>
    <w:rsid w:val="00A1574E"/>
    <w:rsid w:val="00A56B66"/>
    <w:rsid w:val="00CB7CC9"/>
    <w:rsid w:val="00CC7999"/>
    <w:rsid w:val="00D6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6453"/>
  <w15:docId w15:val="{77A86C0A-19CD-428F-9C3E-53A0751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8">
    <w:name w:val="Body Text Indent"/>
    <w:basedOn w:val="a"/>
    <w:link w:val="af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a">
    <w:name w:val="List Paragraph"/>
    <w:basedOn w:val="a"/>
    <w:link w:val="afb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Подподпункт"/>
    <w:basedOn w:val="a"/>
    <w:pPr>
      <w:tabs>
        <w:tab w:val="left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b">
    <w:name w:val="Абзац списка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4">
    <w:name w:val="Основной шрифт абзаца1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d">
    <w:name w:val="Текст выноски Знак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rPr>
      <w:sz w:val="24"/>
    </w:rPr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4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customStyle="1" w:styleId="16">
    <w:name w:val="Заголовок1"/>
    <w:basedOn w:val="a"/>
    <w:next w:val="aff1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1">
    <w:name w:val="Body Text"/>
    <w:basedOn w:val="a"/>
    <w:link w:val="aff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f2">
    <w:name w:val="Основной текст Знак"/>
    <w:basedOn w:val="a0"/>
    <w:link w:val="aff1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f3">
    <w:name w:val="List"/>
    <w:basedOn w:val="aff1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4">
    <w:name w:val="Список определений"/>
    <w:basedOn w:val="a"/>
    <w:next w:val="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5">
    <w:name w:val="Знак Знак Знак Знак Знак Знак"/>
    <w:basedOn w:val="a"/>
    <w:next w:val="1"/>
    <w:pPr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1">
    <w:name w:val="Основной текст 31"/>
    <w:basedOn w:val="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6">
    <w:name w:val="Balloon Text"/>
    <w:basedOn w:val="a"/>
    <w:link w:val="19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9">
    <w:name w:val="Текст выноски Знак1"/>
    <w:basedOn w:val="a0"/>
    <w:link w:val="aff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7">
    <w:name w:val="Пункт"/>
    <w:basedOn w:val="a"/>
    <w:pPr>
      <w:tabs>
        <w:tab w:val="left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a">
    <w:name w:val="Абзац списка1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8">
    <w:name w:val="Normal (Web)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примечания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9">
    <w:name w:val="annotation text"/>
    <w:basedOn w:val="a"/>
    <w:link w:val="1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1c">
    <w:name w:val="Текст примечания Знак1"/>
    <w:basedOn w:val="a0"/>
    <w:link w:val="aff9"/>
    <w:uiPriority w:val="99"/>
    <w:semiHidden/>
    <w:rPr>
      <w:sz w:val="20"/>
      <w:szCs w:val="20"/>
    </w:rPr>
  </w:style>
  <w:style w:type="paragraph" w:styleId="affa">
    <w:name w:val="annotation subject"/>
    <w:basedOn w:val="1b"/>
    <w:next w:val="1b"/>
    <w:link w:val="1d"/>
    <w:rPr>
      <w:b/>
      <w:bCs/>
    </w:rPr>
  </w:style>
  <w:style w:type="character" w:customStyle="1" w:styleId="1d">
    <w:name w:val="Тема примечания Знак1"/>
    <w:basedOn w:val="1c"/>
    <w:link w:val="aff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affd">
    <w:name w:val="Содержимое врезки"/>
    <w:basedOn w:val="aff1"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с отступом 3 Знак1"/>
    <w:basedOn w:val="a0"/>
    <w:link w:val="35"/>
    <w:uiPriority w:val="99"/>
    <w:semiHidden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  <w:pPr>
      <w:numPr>
        <w:numId w:val="13"/>
      </w:numPr>
    </w:pPr>
  </w:style>
  <w:style w:type="character" w:styleId="affe">
    <w:name w:val="annotation reference"/>
    <w:uiPriority w:val="99"/>
    <w:semiHidden/>
    <w:unhideWhenUsed/>
    <w:rPr>
      <w:sz w:val="16"/>
      <w:szCs w:val="16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6">
    <w:name w:val="Body Text 3"/>
    <w:basedOn w:val="a"/>
    <w:link w:val="313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3">
    <w:name w:val="Основной текст 3 Знак1"/>
    <w:basedOn w:val="a0"/>
    <w:link w:val="36"/>
    <w:uiPriority w:val="99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Абзац списка2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e">
    <w:name w:val="Таблица 1 Знак"/>
    <w:link w:val="1f"/>
    <w:rPr>
      <w:sz w:val="24"/>
      <w:szCs w:val="28"/>
    </w:rPr>
  </w:style>
  <w:style w:type="paragraph" w:customStyle="1" w:styleId="1f">
    <w:name w:val="Таблица 1"/>
    <w:basedOn w:val="a"/>
    <w:link w:val="1e"/>
    <w:qFormat/>
    <w:pPr>
      <w:widowControl w:val="0"/>
      <w:spacing w:after="0" w:line="240" w:lineRule="auto"/>
      <w:ind w:right="-108"/>
    </w:pPr>
    <w:rPr>
      <w:sz w:val="24"/>
      <w:szCs w:val="28"/>
    </w:rPr>
  </w:style>
  <w:style w:type="character" w:customStyle="1" w:styleId="afff0">
    <w:name w:val="П.З. Знак"/>
    <w:link w:val="afff1"/>
    <w:rPr>
      <w:sz w:val="28"/>
      <w:szCs w:val="28"/>
    </w:rPr>
  </w:style>
  <w:style w:type="paragraph" w:customStyle="1" w:styleId="afff1">
    <w:name w:val="П.З."/>
    <w:basedOn w:val="a"/>
    <w:link w:val="afff0"/>
    <w:pPr>
      <w:spacing w:after="0" w:line="360" w:lineRule="auto"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6">
    <w:name w:val="Основной текст (2)"/>
    <w:basedOn w:val="a"/>
    <w:pPr>
      <w:widowControl w:val="0"/>
      <w:shd w:val="clear" w:color="auto" w:fill="FFFFFF"/>
      <w:spacing w:after="0" w:line="341" w:lineRule="exact"/>
      <w:ind w:hanging="4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table" w:styleId="afff2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7">
    <w:name w:val="Plain Table 2"/>
    <w:basedOn w:val="a1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f3">
    <w:name w:val="Hyperlink"/>
    <w:uiPriority w:val="99"/>
    <w:unhideWhenUsed/>
    <w:rPr>
      <w:color w:val="0563C1"/>
      <w:u w:val="single"/>
    </w:rPr>
  </w:style>
  <w:style w:type="table" w:customStyle="1" w:styleId="211">
    <w:name w:val="Таблица простая 21"/>
    <w:basedOn w:val="a1"/>
    <w:next w:val="27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744100004" TargetMode="Externa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902145038" TargetMode="External"/><Relationship Id="rId26" Type="http://schemas.openxmlformats.org/officeDocument/2006/relationships/hyperlink" Target="kodeks://link/d?nd=1200173797" TargetMode="External"/><Relationship Id="rId39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yperlink" Target="kodeks://link/d?nd=552050436" TargetMode="External"/><Relationship Id="rId34" Type="http://schemas.openxmlformats.org/officeDocument/2006/relationships/hyperlink" Target="kodeks://link/d?nd=1200095525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351621577" TargetMode="External"/><Relationship Id="rId25" Type="http://schemas.openxmlformats.org/officeDocument/2006/relationships/hyperlink" Target="kodeks://link/d?nd=552050436" TargetMode="External"/><Relationship Id="rId33" Type="http://schemas.openxmlformats.org/officeDocument/2006/relationships/hyperlink" Target="kodeks://link/d?nd=1200164122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kodeks://link/d?nd=744100004" TargetMode="External"/><Relationship Id="rId20" Type="http://schemas.openxmlformats.org/officeDocument/2006/relationships/hyperlink" Target="kodeks://link/d?nd=902145038" TargetMode="External"/><Relationship Id="rId29" Type="http://schemas.openxmlformats.org/officeDocument/2006/relationships/hyperlink" Target="kodeks://link/d?nd=1200006582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744100004" TargetMode="External"/><Relationship Id="rId24" Type="http://schemas.openxmlformats.org/officeDocument/2006/relationships/hyperlink" Target="slink://page/vid=5002993?rc=112010?dtn=%CD%D1%C407353?pn=0?sv=" TargetMode="External"/><Relationship Id="rId32" Type="http://schemas.openxmlformats.org/officeDocument/2006/relationships/hyperlink" Target="kodeks://link/d?nd=1200005684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slink://page/vid=5002993?rc=112010?dtn=%CD%D1%C407353?pn=0?sv=" TargetMode="External"/><Relationship Id="rId28" Type="http://schemas.openxmlformats.org/officeDocument/2006/relationships/hyperlink" Target="kodeks://link/d?nd=1200107995" TargetMode="External"/><Relationship Id="rId36" Type="http://schemas.openxmlformats.org/officeDocument/2006/relationships/hyperlink" Target="kodeks://link/d?nd=499075128" TargetMode="External"/><Relationship Id="rId10" Type="http://schemas.openxmlformats.org/officeDocument/2006/relationships/hyperlink" Target="kodeks://link/d?nd=744100004" TargetMode="External"/><Relationship Id="rId19" Type="http://schemas.openxmlformats.org/officeDocument/2006/relationships/hyperlink" Target="kodeks://link/d?nd=1200173797" TargetMode="External"/><Relationship Id="rId31" Type="http://schemas.openxmlformats.org/officeDocument/2006/relationships/hyperlink" Target="kodeks://link/d?nd=1200181803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27690" TargetMode="External"/><Relationship Id="rId14" Type="http://schemas.openxmlformats.org/officeDocument/2006/relationships/hyperlink" Target="kodeks://link/d?nd=727784145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http://www.gosthelp.ru/text/GOST2111095SPDSPravilavyp.html" TargetMode="External"/><Relationship Id="rId30" Type="http://schemas.openxmlformats.org/officeDocument/2006/relationships/hyperlink" Target="https://rosseti.ru/suppliers/technical-policy/equipment-quality-control/" TargetMode="External"/><Relationship Id="rId35" Type="http://schemas.openxmlformats.org/officeDocument/2006/relationships/hyperlink" Target="kodeks://link/d?nd=12000955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FF8E-0A98-4DAD-8012-DE97D349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8926</Words>
  <Characters>50884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Богомолов Павел Александрович</dc:creator>
  <cp:lastModifiedBy>Зайцева Екатерина Михайловна</cp:lastModifiedBy>
  <cp:revision>3</cp:revision>
  <cp:lastPrinted>2026-01-29T11:09:00Z</cp:lastPrinted>
  <dcterms:created xsi:type="dcterms:W3CDTF">2026-02-02T12:13:00Z</dcterms:created>
  <dcterms:modified xsi:type="dcterms:W3CDTF">2026-02-02T12:14:00Z</dcterms:modified>
</cp:coreProperties>
</file>